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04FFD" w14:textId="1D23072A" w:rsidR="00C62816" w:rsidRPr="009852EE" w:rsidRDefault="002F5A80" w:rsidP="00C62816">
      <w:pPr>
        <w:rPr>
          <w:rFonts w:cs="Arial"/>
          <w:sz w:val="20"/>
          <w:szCs w:val="20"/>
          <w:lang w:val="en-GB"/>
        </w:rPr>
      </w:pPr>
      <w:bookmarkStart w:id="0" w:name="_GoBack"/>
      <w:bookmarkEnd w:id="0"/>
      <w:r w:rsidRPr="009852EE">
        <w:rPr>
          <w:rFonts w:cs="Arial"/>
          <w:noProof/>
          <w:sz w:val="20"/>
          <w:szCs w:val="20"/>
          <w:lang w:val="en-GB" w:eastAsia="en-GB"/>
        </w:rPr>
        <w:drawing>
          <wp:inline distT="0" distB="0" distL="0" distR="0" wp14:anchorId="51A24569" wp14:editId="63D69C04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98284" w14:textId="77777777" w:rsidR="00837C80" w:rsidRPr="00283C30" w:rsidRDefault="00837C80" w:rsidP="00837C80">
      <w:pPr>
        <w:rPr>
          <w:rFonts w:cs="Arial"/>
          <w:sz w:val="20"/>
          <w:szCs w:val="20"/>
          <w:lang w:val="en-GB"/>
        </w:rPr>
      </w:pPr>
    </w:p>
    <w:p w14:paraId="26E0C11F" w14:textId="5DD2B224" w:rsidR="00837C80" w:rsidRPr="00283C30" w:rsidRDefault="00283C30" w:rsidP="00837C80">
      <w:pPr>
        <w:rPr>
          <w:rFonts w:cs="Arial"/>
          <w:b/>
          <w:sz w:val="20"/>
          <w:szCs w:val="20"/>
          <w:lang w:val="en-GB"/>
        </w:rPr>
      </w:pPr>
      <w:r w:rsidRPr="00283C30">
        <w:rPr>
          <w:rFonts w:cs="Arial"/>
          <w:b/>
          <w:sz w:val="20"/>
          <w:szCs w:val="20"/>
          <w:lang w:val="en-GB"/>
        </w:rPr>
        <w:t>8 July 2021</w:t>
      </w:r>
    </w:p>
    <w:p w14:paraId="175D7A76" w14:textId="05F36CFE" w:rsidR="00837C80" w:rsidRPr="00283C30" w:rsidRDefault="00283C30" w:rsidP="00837C80">
      <w:pPr>
        <w:rPr>
          <w:rFonts w:cs="Arial"/>
          <w:b/>
          <w:sz w:val="20"/>
          <w:szCs w:val="20"/>
          <w:lang w:val="en-GB"/>
        </w:rPr>
      </w:pPr>
      <w:r w:rsidRPr="00283C30">
        <w:rPr>
          <w:rFonts w:cs="Arial"/>
          <w:b/>
          <w:sz w:val="20"/>
          <w:szCs w:val="20"/>
          <w:lang w:val="en-GB"/>
        </w:rPr>
        <w:t>161-21</w:t>
      </w:r>
    </w:p>
    <w:p w14:paraId="782FBD2E" w14:textId="77777777" w:rsidR="00C62816" w:rsidRPr="009852EE" w:rsidRDefault="00C62816" w:rsidP="00837C80">
      <w:pPr>
        <w:rPr>
          <w:rFonts w:cs="Arial"/>
          <w:sz w:val="20"/>
          <w:szCs w:val="20"/>
          <w:lang w:val="en-GB"/>
        </w:rPr>
      </w:pPr>
    </w:p>
    <w:p w14:paraId="5A799661" w14:textId="2CE62AA6" w:rsidR="00837C80" w:rsidRPr="00283C30" w:rsidRDefault="00837C80" w:rsidP="00837C80">
      <w:pPr>
        <w:pStyle w:val="FSTitle"/>
        <w:rPr>
          <w:rFonts w:cs="Arial"/>
          <w:b/>
          <w:sz w:val="20"/>
          <w:szCs w:val="20"/>
        </w:rPr>
      </w:pPr>
      <w:r w:rsidRPr="009852EE">
        <w:rPr>
          <w:rFonts w:cs="Arial"/>
          <w:b/>
          <w:iCs/>
          <w:sz w:val="20"/>
          <w:szCs w:val="20"/>
        </w:rPr>
        <w:t>Administrative Assessment</w:t>
      </w:r>
      <w:r w:rsidRPr="009852EE">
        <w:rPr>
          <w:rFonts w:cs="Arial"/>
          <w:b/>
          <w:sz w:val="20"/>
          <w:szCs w:val="20"/>
        </w:rPr>
        <w:t xml:space="preserve"> Report –</w:t>
      </w:r>
      <w:r w:rsidR="009E371F" w:rsidRPr="00283C30">
        <w:rPr>
          <w:rFonts w:cs="Arial"/>
          <w:b/>
          <w:sz w:val="20"/>
          <w:szCs w:val="20"/>
        </w:rPr>
        <w:t>Proposal</w:t>
      </w:r>
      <w:r w:rsidR="00AB791A" w:rsidRPr="00283C30">
        <w:rPr>
          <w:rFonts w:cs="Arial"/>
          <w:b/>
          <w:sz w:val="20"/>
          <w:szCs w:val="20"/>
        </w:rPr>
        <w:t xml:space="preserve"> </w:t>
      </w:r>
      <w:r w:rsidR="007041FC" w:rsidRPr="00283C30">
        <w:rPr>
          <w:rFonts w:cs="Arial"/>
          <w:b/>
          <w:sz w:val="20"/>
          <w:szCs w:val="20"/>
        </w:rPr>
        <w:t>M1019</w:t>
      </w:r>
    </w:p>
    <w:p w14:paraId="058AED12" w14:textId="77777777" w:rsidR="00837C80" w:rsidRPr="009852EE" w:rsidRDefault="00837C80" w:rsidP="00837C80">
      <w:pPr>
        <w:rPr>
          <w:rFonts w:cs="Arial"/>
          <w:sz w:val="20"/>
          <w:szCs w:val="20"/>
          <w:lang w:val="en-GB"/>
        </w:rPr>
      </w:pPr>
    </w:p>
    <w:p w14:paraId="3DB5793F" w14:textId="77026D38" w:rsidR="00D140FE" w:rsidRPr="009852EE" w:rsidRDefault="009E371F" w:rsidP="00837C80">
      <w:pPr>
        <w:pStyle w:val="Title"/>
        <w:jc w:val="left"/>
        <w:rPr>
          <w:rFonts w:cs="Arial"/>
          <w:b w:val="0"/>
          <w:i w:val="0"/>
          <w:iCs w:val="0"/>
          <w:sz w:val="20"/>
          <w:szCs w:val="20"/>
          <w:lang w:val="en-GB"/>
        </w:rPr>
      </w:pPr>
      <w:r w:rsidRPr="009852EE">
        <w:rPr>
          <w:rFonts w:cs="Arial"/>
          <w:b w:val="0"/>
          <w:i w:val="0"/>
          <w:sz w:val="20"/>
          <w:szCs w:val="20"/>
          <w:lang w:val="en-GB"/>
        </w:rPr>
        <w:t xml:space="preserve">Review of </w:t>
      </w:r>
      <w:r w:rsidR="00D64D66" w:rsidRPr="009852EE">
        <w:rPr>
          <w:rFonts w:cs="Arial"/>
          <w:b w:val="0"/>
          <w:i w:val="0"/>
          <w:sz w:val="20"/>
          <w:szCs w:val="20"/>
          <w:lang w:val="en-GB"/>
        </w:rPr>
        <w:t>Schedule 22 – Food</w:t>
      </w:r>
      <w:r w:rsidRPr="009852EE">
        <w:rPr>
          <w:rFonts w:cs="Arial"/>
          <w:b w:val="0"/>
          <w:i w:val="0"/>
          <w:sz w:val="20"/>
          <w:szCs w:val="20"/>
          <w:lang w:val="en-GB"/>
        </w:rPr>
        <w:t>s and classes of foods</w:t>
      </w:r>
      <w:r w:rsidR="00D64D66" w:rsidRPr="009852EE">
        <w:rPr>
          <w:rFonts w:cs="Arial"/>
          <w:b w:val="0"/>
          <w:i w:val="0"/>
          <w:sz w:val="20"/>
          <w:szCs w:val="20"/>
          <w:lang w:val="en-GB"/>
        </w:rPr>
        <w:t xml:space="preserve"> (2021)</w:t>
      </w:r>
    </w:p>
    <w:p w14:paraId="75F93815" w14:textId="77777777" w:rsidR="00804730" w:rsidRPr="009852EE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74E9616E" w14:textId="77777777" w:rsidR="00804730" w:rsidRPr="009852EE" w:rsidRDefault="00804730" w:rsidP="00804730">
      <w:pPr>
        <w:rPr>
          <w:rFonts w:cs="Arial"/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848"/>
        <w:gridCol w:w="2237"/>
      </w:tblGrid>
      <w:tr w:rsidR="00837C80" w:rsidRPr="009852EE" w14:paraId="3FDC4DA2" w14:textId="77777777" w:rsidTr="005F75E4">
        <w:tc>
          <w:tcPr>
            <w:tcW w:w="9065" w:type="dxa"/>
            <w:gridSpan w:val="3"/>
          </w:tcPr>
          <w:p w14:paraId="384BB711" w14:textId="60C83251" w:rsidR="00837C80" w:rsidRPr="00283C30" w:rsidRDefault="00837C80" w:rsidP="00837C80">
            <w:pPr>
              <w:pStyle w:val="AARTableText"/>
              <w:rPr>
                <w:lang w:val="en-GB"/>
              </w:rPr>
            </w:pPr>
            <w:r w:rsidRPr="009852EE">
              <w:rPr>
                <w:b/>
                <w:lang w:val="en-GB"/>
              </w:rPr>
              <w:t xml:space="preserve">Date </w:t>
            </w:r>
            <w:r w:rsidR="008D6BEA" w:rsidRPr="009852EE">
              <w:rPr>
                <w:b/>
                <w:lang w:val="en-GB"/>
              </w:rPr>
              <w:t>r</w:t>
            </w:r>
            <w:r w:rsidRPr="009852EE">
              <w:rPr>
                <w:b/>
                <w:lang w:val="en-GB"/>
              </w:rPr>
              <w:t xml:space="preserve">eceived:  </w:t>
            </w:r>
            <w:r w:rsidR="00283C30" w:rsidRPr="00283C30">
              <w:rPr>
                <w:lang w:val="en-GB"/>
              </w:rPr>
              <w:t>15 May 2021</w:t>
            </w:r>
          </w:p>
          <w:p w14:paraId="4BBAD5A0" w14:textId="7B19F883" w:rsidR="00837C80" w:rsidRPr="009852E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9852EE">
              <w:rPr>
                <w:b/>
                <w:lang w:val="en-GB"/>
              </w:rPr>
              <w:t>Date due for completion of a</w:t>
            </w:r>
            <w:r w:rsidR="00837C80" w:rsidRPr="009852EE">
              <w:rPr>
                <w:b/>
                <w:lang w:val="en-GB"/>
              </w:rPr>
              <w:t xml:space="preserve">dministrative </w:t>
            </w:r>
            <w:r w:rsidRPr="009852EE">
              <w:rPr>
                <w:b/>
                <w:lang w:val="en-GB"/>
              </w:rPr>
              <w:t>a</w:t>
            </w:r>
            <w:r w:rsidR="00837C80" w:rsidRPr="009852EE">
              <w:rPr>
                <w:b/>
                <w:lang w:val="en-GB"/>
              </w:rPr>
              <w:t>ssessment:</w:t>
            </w:r>
            <w:r w:rsidR="009759BE" w:rsidRPr="009852EE">
              <w:rPr>
                <w:b/>
                <w:lang w:val="en-GB"/>
              </w:rPr>
              <w:t xml:space="preserve"> </w:t>
            </w:r>
            <w:r w:rsidR="009A5575">
              <w:rPr>
                <w:lang w:val="en-GB"/>
              </w:rPr>
              <w:t>18</w:t>
            </w:r>
            <w:r w:rsidR="009A5575" w:rsidRPr="009852EE">
              <w:rPr>
                <w:lang w:val="en-GB"/>
              </w:rPr>
              <w:t xml:space="preserve"> </w:t>
            </w:r>
            <w:r w:rsidR="009E371F" w:rsidRPr="009852EE">
              <w:rPr>
                <w:lang w:val="en-GB"/>
              </w:rPr>
              <w:t>June 2021</w:t>
            </w:r>
            <w:r w:rsidR="009759BE" w:rsidRPr="009852EE">
              <w:rPr>
                <w:lang w:val="en-GB"/>
              </w:rPr>
              <w:t xml:space="preserve"> </w:t>
            </w:r>
          </w:p>
          <w:p w14:paraId="59A23BC8" w14:textId="56F925FA" w:rsidR="00837C80" w:rsidRPr="009852EE" w:rsidRDefault="008D6BEA" w:rsidP="00056591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>Date c</w:t>
            </w:r>
            <w:r w:rsidR="00837C80" w:rsidRPr="009852EE">
              <w:rPr>
                <w:b/>
                <w:lang w:val="en-GB"/>
              </w:rPr>
              <w:t xml:space="preserve">ompleted:  </w:t>
            </w:r>
            <w:r w:rsidR="000324D8" w:rsidRPr="000324D8">
              <w:rPr>
                <w:lang w:val="en-GB"/>
              </w:rPr>
              <w:t>23 June 2021</w:t>
            </w:r>
          </w:p>
        </w:tc>
      </w:tr>
      <w:tr w:rsidR="002662F1" w:rsidRPr="009852EE" w14:paraId="521DFEA2" w14:textId="77777777" w:rsidTr="002662F1">
        <w:trPr>
          <w:trHeight w:val="750"/>
        </w:trPr>
        <w:tc>
          <w:tcPr>
            <w:tcW w:w="9065" w:type="dxa"/>
            <w:gridSpan w:val="3"/>
          </w:tcPr>
          <w:p w14:paraId="376EBEE0" w14:textId="66CD253A" w:rsidR="002662F1" w:rsidRPr="009852EE" w:rsidRDefault="002662F1" w:rsidP="00837C80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>Potentially affected standar</w:t>
            </w:r>
            <w:r w:rsidRPr="009852EE">
              <w:rPr>
                <w:b/>
                <w:color w:val="000000" w:themeColor="text1"/>
                <w:lang w:val="en-GB"/>
              </w:rPr>
              <w:t>ds</w:t>
            </w:r>
            <w:r w:rsidRPr="009852EE">
              <w:rPr>
                <w:b/>
                <w:lang w:val="en-GB"/>
              </w:rPr>
              <w:t>:</w:t>
            </w:r>
          </w:p>
          <w:p w14:paraId="04C25A8B" w14:textId="77777777" w:rsidR="00573C41" w:rsidRDefault="002662F1">
            <w:pPr>
              <w:rPr>
                <w:rFonts w:cs="Arial"/>
                <w:sz w:val="20"/>
                <w:szCs w:val="20"/>
                <w:lang w:val="en-GB"/>
              </w:rPr>
            </w:pPr>
            <w:r w:rsidRPr="009852EE">
              <w:rPr>
                <w:rFonts w:cs="Arial"/>
                <w:sz w:val="20"/>
                <w:szCs w:val="20"/>
                <w:lang w:val="en-GB"/>
              </w:rPr>
              <w:t>1.4.1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Contaminants and natural toxicants</w:t>
            </w:r>
          </w:p>
          <w:p w14:paraId="3E9D3665" w14:textId="245EBF1D" w:rsidR="002662F1" w:rsidRPr="009852EE" w:rsidRDefault="002662F1">
            <w:pPr>
              <w:rPr>
                <w:rFonts w:cs="Arial"/>
                <w:sz w:val="20"/>
                <w:szCs w:val="20"/>
                <w:lang w:val="en-GB"/>
              </w:rPr>
            </w:pPr>
            <w:r w:rsidRPr="009852E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         1.4.1 </w:t>
            </w:r>
            <w:r w:rsidRPr="009852EE">
              <w:rPr>
                <w:rFonts w:cs="Arial"/>
                <w:sz w:val="20"/>
                <w:szCs w:val="20"/>
                <w:lang w:val="en-GB"/>
              </w:rPr>
              <w:t>– 2(2)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– Interpretation </w:t>
            </w:r>
            <w:r w:rsidR="002B64BE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7757F4C6" w14:textId="2346AAE8" w:rsidR="00573C41" w:rsidRDefault="002662F1">
            <w:pPr>
              <w:rPr>
                <w:rFonts w:cs="Arial"/>
                <w:sz w:val="20"/>
                <w:szCs w:val="20"/>
                <w:lang w:val="en-GB"/>
              </w:rPr>
            </w:pPr>
            <w:r w:rsidRPr="009852EE">
              <w:rPr>
                <w:rFonts w:cs="Arial"/>
                <w:sz w:val="20"/>
                <w:szCs w:val="20"/>
                <w:lang w:val="en-GB"/>
              </w:rPr>
              <w:t>1.4.2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Agvet chemicals</w:t>
            </w:r>
            <w:r w:rsidRPr="009852EE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0AFB7A4B" w14:textId="1A8551D5" w:rsidR="002662F1" w:rsidRDefault="00573C4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          1.4.2 </w:t>
            </w:r>
            <w:r w:rsidR="002662F1" w:rsidRPr="009852EE">
              <w:rPr>
                <w:rFonts w:cs="Arial"/>
                <w:sz w:val="20"/>
                <w:szCs w:val="20"/>
                <w:lang w:val="en-GB"/>
              </w:rPr>
              <w:t>– 3(2)</w:t>
            </w:r>
            <w:r w:rsidR="002662F1">
              <w:rPr>
                <w:rFonts w:cs="Arial"/>
                <w:sz w:val="20"/>
                <w:szCs w:val="20"/>
                <w:lang w:val="en-GB"/>
              </w:rPr>
              <w:t xml:space="preserve"> (a)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– Definitions and interpretation</w:t>
            </w:r>
          </w:p>
          <w:p w14:paraId="3488289A" w14:textId="09EC0C90" w:rsidR="002662F1" w:rsidRPr="009852EE" w:rsidRDefault="00573C4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          1.4.2 </w:t>
            </w:r>
            <w:r w:rsidR="002662F1" w:rsidRPr="009852EE">
              <w:rPr>
                <w:rFonts w:cs="Arial"/>
                <w:sz w:val="20"/>
                <w:szCs w:val="20"/>
                <w:lang w:val="en-GB"/>
              </w:rPr>
              <w:t>– 3(4)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– Definitions and interpretation</w:t>
            </w:r>
          </w:p>
          <w:p w14:paraId="1BA00CA3" w14:textId="77777777" w:rsidR="002B64BE" w:rsidRDefault="002662F1">
            <w:pPr>
              <w:rPr>
                <w:rFonts w:cs="Arial"/>
                <w:sz w:val="20"/>
                <w:szCs w:val="20"/>
                <w:lang w:val="en-GB"/>
              </w:rPr>
            </w:pPr>
            <w:r w:rsidRPr="009852EE">
              <w:rPr>
                <w:rFonts w:cs="Arial"/>
                <w:sz w:val="20"/>
                <w:szCs w:val="20"/>
                <w:lang w:val="en-GB"/>
              </w:rPr>
              <w:t xml:space="preserve">1.5.3 </w:t>
            </w:r>
            <w:r w:rsidR="002B64BE">
              <w:rPr>
                <w:rFonts w:cs="Arial"/>
                <w:sz w:val="20"/>
                <w:szCs w:val="20"/>
                <w:lang w:val="en-GB"/>
              </w:rPr>
              <w:t>Irradiation of foods</w:t>
            </w:r>
          </w:p>
          <w:p w14:paraId="3885C371" w14:textId="02757F8D" w:rsidR="002662F1" w:rsidRPr="009852EE" w:rsidRDefault="002B64B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ab/>
              <w:t>1.5.3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– </w:t>
            </w:r>
            <w:r w:rsidR="002662F1" w:rsidRPr="009852EE">
              <w:rPr>
                <w:rFonts w:cs="Arial"/>
                <w:sz w:val="20"/>
                <w:szCs w:val="20"/>
                <w:lang w:val="en-GB"/>
              </w:rPr>
              <w:t>4(3)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– </w:t>
            </w:r>
            <w:r w:rsidRPr="002B64BE">
              <w:rPr>
                <w:rFonts w:cs="Arial"/>
                <w:sz w:val="20"/>
                <w:szCs w:val="20"/>
                <w:lang w:val="en-GB"/>
              </w:rPr>
              <w:t>Irradiation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2B64BE">
              <w:rPr>
                <w:rFonts w:cs="Arial"/>
                <w:sz w:val="20"/>
                <w:szCs w:val="20"/>
                <w:lang w:val="en-GB"/>
              </w:rPr>
              <w:t>of herbs and spices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56AA7147" w14:textId="0FF5DEFA" w:rsidR="00573C41" w:rsidRDefault="002662F1">
            <w:pPr>
              <w:rPr>
                <w:rFonts w:cs="Arial"/>
                <w:sz w:val="20"/>
                <w:szCs w:val="20"/>
                <w:lang w:val="en-GB"/>
              </w:rPr>
            </w:pPr>
            <w:r w:rsidRPr="009852EE">
              <w:rPr>
                <w:rFonts w:cs="Arial"/>
                <w:sz w:val="20"/>
                <w:szCs w:val="20"/>
                <w:lang w:val="en-GB"/>
              </w:rPr>
              <w:t>S5</w:t>
            </w:r>
            <w:r w:rsidR="00573C41">
              <w:rPr>
                <w:rFonts w:cs="Arial"/>
                <w:sz w:val="20"/>
                <w:szCs w:val="20"/>
                <w:lang w:val="en-GB"/>
              </w:rPr>
              <w:t xml:space="preserve"> Nutrient profiling scoring methods</w:t>
            </w:r>
            <w:r w:rsidRPr="009852EE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E2C7595" w14:textId="569CAF8F" w:rsidR="002662F1" w:rsidRPr="009852EE" w:rsidRDefault="00573C4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          S5 </w:t>
            </w:r>
            <w:r w:rsidR="002662F1" w:rsidRPr="009852EE">
              <w:rPr>
                <w:rFonts w:cs="Arial"/>
                <w:sz w:val="20"/>
                <w:szCs w:val="20"/>
                <w:lang w:val="en-GB"/>
              </w:rPr>
              <w:t>– 4(2)(b)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– Fruit and vegetable points (V points)</w:t>
            </w:r>
          </w:p>
          <w:p w14:paraId="7EE4FEC4" w14:textId="1FFFEE36" w:rsidR="00573C41" w:rsidRDefault="001F79F9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S19 Maximum levels of contaminants and natural toxicants</w:t>
            </w:r>
          </w:p>
          <w:p w14:paraId="1A7449EC" w14:textId="29CEFFF4" w:rsidR="002662F1" w:rsidRPr="009852EE" w:rsidRDefault="00573C4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          S19 </w:t>
            </w:r>
            <w:r w:rsidR="002662F1">
              <w:rPr>
                <w:rFonts w:cs="Arial"/>
                <w:sz w:val="20"/>
                <w:szCs w:val="20"/>
                <w:lang w:val="en-GB"/>
              </w:rPr>
              <w:t>– 4</w:t>
            </w:r>
            <w:r w:rsidR="001F79F9">
              <w:rPr>
                <w:rFonts w:cs="Arial"/>
                <w:sz w:val="20"/>
                <w:szCs w:val="20"/>
                <w:lang w:val="en-GB"/>
              </w:rPr>
              <w:t xml:space="preserve"> – Maximum levels of metal contaminants</w:t>
            </w:r>
          </w:p>
          <w:p w14:paraId="6AA8359F" w14:textId="02B297FB" w:rsidR="002662F1" w:rsidRPr="009852EE" w:rsidRDefault="00573C4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           </w:t>
            </w:r>
            <w:r w:rsidR="002662F1">
              <w:rPr>
                <w:rFonts w:cs="Arial"/>
                <w:sz w:val="20"/>
                <w:szCs w:val="20"/>
                <w:lang w:val="en-GB"/>
              </w:rPr>
              <w:t>S19 – 5</w:t>
            </w:r>
            <w:r w:rsidR="001F79F9">
              <w:rPr>
                <w:rFonts w:cs="Arial"/>
                <w:sz w:val="20"/>
                <w:szCs w:val="20"/>
                <w:lang w:val="en-GB"/>
              </w:rPr>
              <w:t xml:space="preserve"> – Maximum levels of non-metal contaminants</w:t>
            </w:r>
          </w:p>
        </w:tc>
      </w:tr>
      <w:tr w:rsidR="002662F1" w:rsidRPr="009852EE" w14:paraId="2A72DFA1" w14:textId="77777777" w:rsidTr="002B64BE">
        <w:trPr>
          <w:trHeight w:val="750"/>
        </w:trPr>
        <w:tc>
          <w:tcPr>
            <w:tcW w:w="9065" w:type="dxa"/>
            <w:gridSpan w:val="3"/>
          </w:tcPr>
          <w:p w14:paraId="6EDC39B8" w14:textId="77777777" w:rsidR="002662F1" w:rsidRPr="009852EE" w:rsidRDefault="002662F1" w:rsidP="005F75E4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 xml:space="preserve">Brief description of </w:t>
            </w:r>
            <w:r>
              <w:rPr>
                <w:b/>
                <w:lang w:val="en-GB"/>
              </w:rPr>
              <w:t>Proposal</w:t>
            </w:r>
            <w:r w:rsidRPr="009852EE">
              <w:rPr>
                <w:b/>
                <w:lang w:val="en-GB"/>
              </w:rPr>
              <w:t>:</w:t>
            </w:r>
          </w:p>
          <w:p w14:paraId="3F0DC7E0" w14:textId="77777777" w:rsidR="00F05172" w:rsidRDefault="002662F1" w:rsidP="00F05172">
            <w:pPr>
              <w:rPr>
                <w:rFonts w:cs="Arial"/>
                <w:sz w:val="20"/>
                <w:szCs w:val="20"/>
              </w:rPr>
            </w:pPr>
            <w:r w:rsidRPr="00FB6D5F">
              <w:rPr>
                <w:rFonts w:cs="Arial"/>
                <w:sz w:val="20"/>
                <w:szCs w:val="20"/>
              </w:rPr>
              <w:t xml:space="preserve">To develop </w:t>
            </w:r>
            <w:r w:rsidR="00FB6D5F">
              <w:rPr>
                <w:rFonts w:cs="Arial"/>
                <w:sz w:val="20"/>
                <w:szCs w:val="20"/>
              </w:rPr>
              <w:t xml:space="preserve">a </w:t>
            </w:r>
            <w:r w:rsidRPr="00FB6D5F">
              <w:rPr>
                <w:rFonts w:cs="Arial"/>
                <w:sz w:val="20"/>
                <w:szCs w:val="20"/>
              </w:rPr>
              <w:t xml:space="preserve">draft regulatory measure </w:t>
            </w:r>
            <w:r w:rsidR="00940873">
              <w:rPr>
                <w:rFonts w:cs="Arial"/>
                <w:sz w:val="20"/>
                <w:szCs w:val="20"/>
              </w:rPr>
              <w:t xml:space="preserve">for </w:t>
            </w:r>
            <w:r w:rsidRPr="00FB6D5F">
              <w:rPr>
                <w:rFonts w:cs="Arial"/>
                <w:sz w:val="20"/>
                <w:szCs w:val="20"/>
              </w:rPr>
              <w:t>Schedule 22 – Food and classes of foods</w:t>
            </w:r>
            <w:r w:rsidR="00A03993">
              <w:rPr>
                <w:rFonts w:cs="Arial"/>
                <w:sz w:val="20"/>
                <w:szCs w:val="20"/>
              </w:rPr>
              <w:t xml:space="preserve">. </w:t>
            </w:r>
          </w:p>
          <w:p w14:paraId="01E182C3" w14:textId="0EA071FA" w:rsidR="00F05172" w:rsidRDefault="00F05172" w:rsidP="00F05172">
            <w:pPr>
              <w:rPr>
                <w:rFonts w:cs="Arial"/>
                <w:color w:val="1F497D" w:themeColor="dark2"/>
              </w:rPr>
            </w:pPr>
            <w:r w:rsidRPr="0014268F">
              <w:rPr>
                <w:rFonts w:cs="Arial"/>
                <w:sz w:val="20"/>
                <w:szCs w:val="20"/>
              </w:rPr>
              <w:t>The propos</w:t>
            </w:r>
            <w:r w:rsidR="0014268F">
              <w:rPr>
                <w:rFonts w:cs="Arial"/>
                <w:sz w:val="20"/>
                <w:szCs w:val="20"/>
              </w:rPr>
              <w:t>ed</w:t>
            </w:r>
            <w:r w:rsidRPr="0014268F">
              <w:rPr>
                <w:rFonts w:cs="Arial"/>
                <w:sz w:val="20"/>
                <w:szCs w:val="20"/>
              </w:rPr>
              <w:t xml:space="preserve"> variation will address inconsistencies between the foods and classes of foods and crop groups</w:t>
            </w:r>
            <w:r w:rsidR="000A2D29">
              <w:rPr>
                <w:rFonts w:cs="Arial"/>
                <w:sz w:val="20"/>
                <w:szCs w:val="20"/>
              </w:rPr>
              <w:t>, including subgroups,</w:t>
            </w:r>
            <w:r w:rsidRPr="0014268F">
              <w:rPr>
                <w:rFonts w:cs="Arial"/>
                <w:sz w:val="20"/>
                <w:szCs w:val="20"/>
              </w:rPr>
              <w:t xml:space="preserve"> adopted by the Australian Pesticides and Veterinary Medicines Authority (APVMA) and Codex Alimentarius and the foods and classes of foods described and listed in </w:t>
            </w:r>
            <w:r w:rsidR="007110D9">
              <w:rPr>
                <w:rFonts w:cs="Arial"/>
                <w:sz w:val="20"/>
                <w:szCs w:val="20"/>
              </w:rPr>
              <w:t>S</w:t>
            </w:r>
            <w:r w:rsidRPr="0014268F">
              <w:rPr>
                <w:rFonts w:cs="Arial"/>
                <w:sz w:val="20"/>
                <w:szCs w:val="20"/>
              </w:rPr>
              <w:t xml:space="preserve">chedule 22. </w:t>
            </w:r>
            <w:r w:rsidR="0014268F" w:rsidRPr="0014268F">
              <w:rPr>
                <w:rFonts w:cs="Arial"/>
                <w:sz w:val="20"/>
                <w:szCs w:val="20"/>
              </w:rPr>
              <w:t xml:space="preserve">A revised </w:t>
            </w:r>
            <w:r w:rsidR="007110D9">
              <w:rPr>
                <w:rFonts w:cs="Arial"/>
                <w:sz w:val="20"/>
                <w:szCs w:val="20"/>
              </w:rPr>
              <w:t>S</w:t>
            </w:r>
            <w:r w:rsidR="0014268F" w:rsidRPr="0014268F">
              <w:rPr>
                <w:rFonts w:cs="Arial"/>
                <w:sz w:val="20"/>
                <w:szCs w:val="20"/>
              </w:rPr>
              <w:t>chedule 22 will</w:t>
            </w:r>
            <w:r w:rsidRPr="0014268F">
              <w:rPr>
                <w:rFonts w:cs="Arial"/>
                <w:sz w:val="20"/>
                <w:szCs w:val="20"/>
              </w:rPr>
              <w:t xml:space="preserve"> </w:t>
            </w:r>
            <w:r w:rsidR="0014268F" w:rsidRPr="0014268F">
              <w:rPr>
                <w:rFonts w:cs="Arial"/>
                <w:sz w:val="20"/>
                <w:szCs w:val="20"/>
              </w:rPr>
              <w:t>provide clarity for</w:t>
            </w:r>
            <w:r w:rsidRPr="0014268F">
              <w:rPr>
                <w:rFonts w:cs="Arial"/>
                <w:sz w:val="20"/>
                <w:szCs w:val="20"/>
              </w:rPr>
              <w:t xml:space="preserve"> </w:t>
            </w:r>
            <w:r w:rsidRPr="00FB6D5F">
              <w:rPr>
                <w:rFonts w:cs="Arial"/>
                <w:sz w:val="20"/>
                <w:szCs w:val="20"/>
              </w:rPr>
              <w:t>food commodit</w:t>
            </w:r>
            <w:r>
              <w:rPr>
                <w:rFonts w:cs="Arial"/>
                <w:sz w:val="20"/>
                <w:szCs w:val="20"/>
              </w:rPr>
              <w:t xml:space="preserve">ies listed </w:t>
            </w:r>
            <w:r w:rsidRPr="00FB6D5F">
              <w:rPr>
                <w:rFonts w:cs="Arial"/>
                <w:sz w:val="20"/>
                <w:szCs w:val="20"/>
              </w:rPr>
              <w:t xml:space="preserve">in </w:t>
            </w:r>
            <w:r w:rsidR="007110D9">
              <w:rPr>
                <w:rFonts w:cs="Arial"/>
                <w:sz w:val="20"/>
                <w:szCs w:val="20"/>
              </w:rPr>
              <w:t>S</w:t>
            </w:r>
            <w:r w:rsidRPr="00FB6D5F">
              <w:rPr>
                <w:rFonts w:cs="Arial"/>
                <w:sz w:val="20"/>
                <w:szCs w:val="20"/>
              </w:rPr>
              <w:t>chedule</w:t>
            </w:r>
            <w:r w:rsidR="006A4A31">
              <w:rPr>
                <w:rFonts w:cs="Arial"/>
                <w:sz w:val="20"/>
                <w:szCs w:val="20"/>
              </w:rPr>
              <w:t>s</w:t>
            </w:r>
            <w:r w:rsidRPr="00FB6D5F">
              <w:rPr>
                <w:rFonts w:cs="Arial"/>
                <w:sz w:val="20"/>
                <w:szCs w:val="20"/>
              </w:rPr>
              <w:t xml:space="preserve"> 20</w:t>
            </w:r>
            <w:r w:rsidR="006A4A31">
              <w:rPr>
                <w:rFonts w:cs="Arial"/>
                <w:sz w:val="20"/>
                <w:szCs w:val="20"/>
              </w:rPr>
              <w:t xml:space="preserve">/21 </w:t>
            </w:r>
            <w:r>
              <w:rPr>
                <w:rFonts w:cs="Arial"/>
                <w:sz w:val="20"/>
                <w:szCs w:val="20"/>
              </w:rPr>
              <w:t xml:space="preserve">and / or </w:t>
            </w:r>
            <w:r w:rsidR="0014268F">
              <w:rPr>
                <w:rFonts w:cs="Arial"/>
                <w:sz w:val="20"/>
                <w:szCs w:val="20"/>
              </w:rPr>
              <w:t xml:space="preserve">foods </w:t>
            </w:r>
            <w:r>
              <w:rPr>
                <w:rFonts w:cs="Arial"/>
                <w:sz w:val="20"/>
                <w:szCs w:val="20"/>
              </w:rPr>
              <w:t xml:space="preserve">referenced by other standards and </w:t>
            </w:r>
            <w:r w:rsidR="007110D9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chedules</w:t>
            </w:r>
            <w:r w:rsidRPr="00FB6D5F">
              <w:rPr>
                <w:rFonts w:cs="Arial"/>
                <w:sz w:val="20"/>
                <w:szCs w:val="20"/>
              </w:rPr>
              <w:t xml:space="preserve"> of the </w:t>
            </w:r>
            <w:r w:rsidR="00C13653" w:rsidRPr="00C13653">
              <w:rPr>
                <w:rFonts w:cs="Arial"/>
                <w:i/>
                <w:sz w:val="20"/>
                <w:szCs w:val="20"/>
              </w:rPr>
              <w:t xml:space="preserve">Australia New Zealand </w:t>
            </w:r>
            <w:r w:rsidRPr="00C13653">
              <w:rPr>
                <w:rFonts w:cs="Arial"/>
                <w:i/>
                <w:sz w:val="20"/>
                <w:szCs w:val="20"/>
              </w:rPr>
              <w:t>Food Standards Code</w:t>
            </w:r>
            <w:r w:rsidR="00332638">
              <w:rPr>
                <w:rFonts w:cs="Arial"/>
                <w:sz w:val="20"/>
                <w:szCs w:val="20"/>
              </w:rPr>
              <w:t xml:space="preserve"> (the Code)</w:t>
            </w:r>
            <w:r w:rsidR="0014268F">
              <w:rPr>
                <w:rFonts w:cs="Arial"/>
                <w:sz w:val="20"/>
                <w:szCs w:val="20"/>
              </w:rPr>
              <w:t>.</w:t>
            </w:r>
          </w:p>
          <w:p w14:paraId="50781964" w14:textId="0419C39F" w:rsidR="00F05172" w:rsidRPr="009852EE" w:rsidRDefault="00F05172" w:rsidP="00F0517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37F8F" w:rsidRPr="009852EE" w14:paraId="2BF2D3B7" w14:textId="77777777" w:rsidTr="00481301">
        <w:trPr>
          <w:trHeight w:val="750"/>
        </w:trPr>
        <w:tc>
          <w:tcPr>
            <w:tcW w:w="1980" w:type="dxa"/>
          </w:tcPr>
          <w:p w14:paraId="13F9F636" w14:textId="77777777" w:rsidR="00237F8F" w:rsidRPr="009852EE" w:rsidRDefault="00237F8F" w:rsidP="00EA6A03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 xml:space="preserve">Procedure:  </w:t>
            </w:r>
          </w:p>
          <w:p w14:paraId="239A572F" w14:textId="15F938F1" w:rsidR="00237F8F" w:rsidRPr="009852EE" w:rsidRDefault="00237F8F" w:rsidP="003142AD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EC1DF8">
              <w:rPr>
                <w:lang w:val="en-GB"/>
              </w:rPr>
              <w:t>General</w:t>
            </w:r>
            <w:r w:rsidR="007B673C" w:rsidRPr="00EC1DF8">
              <w:rPr>
                <w:lang w:val="en-GB"/>
              </w:rPr>
              <w:t xml:space="preserve"> </w:t>
            </w:r>
            <w:r w:rsidR="002F6573" w:rsidRPr="00EC1DF8">
              <w:rPr>
                <w:lang w:val="en-GB"/>
              </w:rPr>
              <w:t>[</w:t>
            </w:r>
            <w:r w:rsidR="007B673C" w:rsidRPr="00EC1DF8">
              <w:rPr>
                <w:lang w:val="en-GB"/>
              </w:rPr>
              <w:t xml:space="preserve">Level </w:t>
            </w:r>
            <w:r w:rsidR="003142AD">
              <w:rPr>
                <w:lang w:val="en-GB"/>
              </w:rPr>
              <w:t>5</w:t>
            </w:r>
            <w:r w:rsidR="002F6573" w:rsidRPr="00EC1DF8">
              <w:rPr>
                <w:lang w:val="en-GB"/>
              </w:rPr>
              <w:t>]</w:t>
            </w:r>
          </w:p>
        </w:tc>
        <w:tc>
          <w:tcPr>
            <w:tcW w:w="4848" w:type="dxa"/>
          </w:tcPr>
          <w:p w14:paraId="730F6456" w14:textId="77777777" w:rsidR="007E0C60" w:rsidRPr="009852EE" w:rsidRDefault="004A69D0" w:rsidP="007E0C60">
            <w:pPr>
              <w:pStyle w:val="AARTableText"/>
              <w:rPr>
                <w:lang w:val="en-GB"/>
              </w:rPr>
            </w:pPr>
            <w:r w:rsidRPr="009852EE">
              <w:rPr>
                <w:b/>
                <w:lang w:val="en-GB"/>
              </w:rPr>
              <w:t>Estimated total</w:t>
            </w:r>
            <w:r w:rsidR="00907039" w:rsidRPr="009852EE">
              <w:rPr>
                <w:b/>
                <w:lang w:val="en-GB"/>
              </w:rPr>
              <w:t xml:space="preserve"> variable</w:t>
            </w:r>
            <w:r w:rsidRPr="009852EE">
              <w:rPr>
                <w:b/>
                <w:lang w:val="en-GB"/>
              </w:rPr>
              <w:t xml:space="preserve"> hours</w:t>
            </w:r>
            <w:r w:rsidR="00C62816" w:rsidRPr="009852EE">
              <w:rPr>
                <w:b/>
                <w:lang w:val="en-GB"/>
              </w:rPr>
              <w:t>:</w:t>
            </w:r>
            <w:r w:rsidR="00B17EB4" w:rsidRPr="009852EE">
              <w:rPr>
                <w:lang w:val="en-GB"/>
              </w:rPr>
              <w:t xml:space="preserve"> </w:t>
            </w:r>
          </w:p>
          <w:p w14:paraId="30893546" w14:textId="21C40762" w:rsidR="004A69D0" w:rsidRPr="009852EE" w:rsidRDefault="002A4AF5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9852EE">
              <w:rPr>
                <w:color w:val="000000" w:themeColor="text1"/>
                <w:lang w:val="en-GB"/>
              </w:rPr>
              <w:t>1240</w:t>
            </w:r>
            <w:r w:rsidR="004E02F5" w:rsidRPr="009852EE">
              <w:rPr>
                <w:color w:val="000000" w:themeColor="text1"/>
                <w:lang w:val="en-GB"/>
              </w:rPr>
              <w:t xml:space="preserve"> hours</w:t>
            </w:r>
            <w:r w:rsidR="007E0C60" w:rsidRPr="009852EE">
              <w:rPr>
                <w:color w:val="000000" w:themeColor="text1"/>
                <w:lang w:val="en-GB"/>
              </w:rPr>
              <w:t xml:space="preserve"> </w:t>
            </w:r>
          </w:p>
          <w:p w14:paraId="01A43A3B" w14:textId="77777777" w:rsidR="007110D9" w:rsidRDefault="007110D9" w:rsidP="007E0C60">
            <w:pPr>
              <w:pStyle w:val="AARTableText"/>
              <w:rPr>
                <w:b/>
                <w:lang w:val="en-GB"/>
              </w:rPr>
            </w:pPr>
          </w:p>
          <w:p w14:paraId="599A004B" w14:textId="477C2BAC" w:rsidR="00237F8F" w:rsidRPr="009852EE" w:rsidRDefault="00237F8F" w:rsidP="007E0C60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>Reasons why:</w:t>
            </w:r>
          </w:p>
          <w:p w14:paraId="040A1EBB" w14:textId="2E93B7B3" w:rsidR="00237F8F" w:rsidRPr="009852EE" w:rsidRDefault="003E4886" w:rsidP="00AA043D">
            <w:pPr>
              <w:rPr>
                <w:rFonts w:cs="Arial"/>
                <w:sz w:val="20"/>
                <w:szCs w:val="20"/>
              </w:rPr>
            </w:pPr>
            <w:r w:rsidRPr="009852EE">
              <w:rPr>
                <w:rFonts w:cs="Arial"/>
                <w:sz w:val="20"/>
                <w:szCs w:val="20"/>
              </w:rPr>
              <w:t>Requires an extensive and complex assessment of risk management measures and requires targeted consultation with key stakeholders or special interest groups</w:t>
            </w:r>
          </w:p>
        </w:tc>
        <w:tc>
          <w:tcPr>
            <w:tcW w:w="2237" w:type="dxa"/>
          </w:tcPr>
          <w:p w14:paraId="1349AB7A" w14:textId="77777777" w:rsidR="00237F8F" w:rsidRPr="009852EE" w:rsidRDefault="003C41D3" w:rsidP="007E0C60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>Provisional es</w:t>
            </w:r>
            <w:r w:rsidR="00237F8F" w:rsidRPr="009852EE">
              <w:rPr>
                <w:b/>
                <w:lang w:val="en-GB"/>
              </w:rPr>
              <w:t xml:space="preserve">timated start </w:t>
            </w:r>
            <w:r w:rsidR="00C752FC" w:rsidRPr="009852EE">
              <w:rPr>
                <w:b/>
                <w:lang w:val="en-GB"/>
              </w:rPr>
              <w:t>work</w:t>
            </w:r>
            <w:r w:rsidR="00237F8F" w:rsidRPr="009852EE">
              <w:rPr>
                <w:b/>
                <w:lang w:val="en-GB"/>
              </w:rPr>
              <w:t xml:space="preserve">:  </w:t>
            </w:r>
          </w:p>
          <w:p w14:paraId="0C441C00" w14:textId="622C4748" w:rsidR="00B17EB4" w:rsidRPr="009852EE" w:rsidRDefault="009E371F" w:rsidP="002A4AF5">
            <w:pPr>
              <w:pStyle w:val="AARTableText"/>
              <w:rPr>
                <w:lang w:val="en-GB"/>
              </w:rPr>
            </w:pPr>
            <w:r w:rsidRPr="009852EE">
              <w:rPr>
                <w:color w:val="000000" w:themeColor="text1"/>
                <w:lang w:val="en-GB"/>
              </w:rPr>
              <w:t>June</w:t>
            </w:r>
            <w:r w:rsidR="004E02F5" w:rsidRPr="009852EE">
              <w:rPr>
                <w:color w:val="000000" w:themeColor="text1"/>
                <w:lang w:val="en-GB"/>
              </w:rPr>
              <w:t xml:space="preserve"> 20</w:t>
            </w:r>
            <w:r w:rsidR="002A4AF5" w:rsidRPr="009852EE">
              <w:rPr>
                <w:color w:val="000000" w:themeColor="text1"/>
                <w:lang w:val="en-GB"/>
              </w:rPr>
              <w:t>21</w:t>
            </w:r>
          </w:p>
        </w:tc>
      </w:tr>
    </w:tbl>
    <w:p w14:paraId="1DB0D14C" w14:textId="77777777" w:rsidR="00D140FE" w:rsidRPr="009852EE" w:rsidRDefault="00D140FE">
      <w:pPr>
        <w:rPr>
          <w:rFonts w:cs="Arial"/>
          <w:sz w:val="20"/>
          <w:szCs w:val="20"/>
          <w:lang w:val="en-GB"/>
        </w:rPr>
      </w:pPr>
    </w:p>
    <w:p w14:paraId="20E7FD84" w14:textId="50653B31" w:rsidR="000A071C" w:rsidRPr="009852EE" w:rsidRDefault="000A071C">
      <w:pPr>
        <w:rPr>
          <w:rFonts w:cs="Arial"/>
          <w:sz w:val="20"/>
          <w:szCs w:val="20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C6FC6" w:rsidRPr="009852EE" w14:paraId="746B0ECD" w14:textId="77777777" w:rsidTr="009236A3">
        <w:trPr>
          <w:cantSplit/>
          <w:trHeight w:val="523"/>
        </w:trPr>
        <w:tc>
          <w:tcPr>
            <w:tcW w:w="9072" w:type="dxa"/>
          </w:tcPr>
          <w:p w14:paraId="03C884DF" w14:textId="1585B1FE" w:rsidR="003C6FC6" w:rsidRPr="009852EE" w:rsidRDefault="003C6FC6" w:rsidP="009236A3">
            <w:pPr>
              <w:pStyle w:val="AARTableText"/>
              <w:rPr>
                <w:b/>
              </w:rPr>
            </w:pPr>
            <w:r w:rsidRPr="009852EE">
              <w:rPr>
                <w:b/>
              </w:rPr>
              <w:lastRenderedPageBreak/>
              <w:t>Other Comments or Relevant Matters:</w:t>
            </w:r>
            <w:r w:rsidR="00361B06">
              <w:rPr>
                <w:b/>
              </w:rPr>
              <w:t xml:space="preserve"> </w:t>
            </w:r>
          </w:p>
          <w:p w14:paraId="2BFDB2FA" w14:textId="1151EA5F" w:rsidR="006405C2" w:rsidRDefault="003C6FC6" w:rsidP="003C6FC6">
            <w:pPr>
              <w:pStyle w:val="Default"/>
              <w:rPr>
                <w:sz w:val="20"/>
                <w:szCs w:val="20"/>
              </w:rPr>
            </w:pPr>
            <w:r w:rsidRPr="009852EE">
              <w:rPr>
                <w:sz w:val="20"/>
                <w:szCs w:val="20"/>
              </w:rPr>
              <w:t xml:space="preserve">The Proposal will consider varying Schedule 22 </w:t>
            </w:r>
            <w:r w:rsidR="00134B85">
              <w:rPr>
                <w:sz w:val="20"/>
                <w:szCs w:val="20"/>
              </w:rPr>
              <w:t>of</w:t>
            </w:r>
            <w:r w:rsidRPr="009852EE">
              <w:rPr>
                <w:sz w:val="20"/>
                <w:szCs w:val="20"/>
              </w:rPr>
              <w:t xml:space="preserve"> the </w:t>
            </w:r>
            <w:r w:rsidR="00C13653" w:rsidRPr="00C13653">
              <w:rPr>
                <w:iCs/>
                <w:sz w:val="20"/>
                <w:szCs w:val="20"/>
              </w:rPr>
              <w:t>Code</w:t>
            </w:r>
            <w:r w:rsidRPr="00C13653">
              <w:rPr>
                <w:sz w:val="20"/>
                <w:szCs w:val="20"/>
              </w:rPr>
              <w:t xml:space="preserve"> </w:t>
            </w:r>
            <w:r w:rsidRPr="009852EE">
              <w:rPr>
                <w:sz w:val="20"/>
                <w:szCs w:val="20"/>
              </w:rPr>
              <w:t xml:space="preserve">to align foods and classes of foods with </w:t>
            </w:r>
            <w:r w:rsidR="000A2D29">
              <w:rPr>
                <w:sz w:val="20"/>
                <w:szCs w:val="20"/>
              </w:rPr>
              <w:t>foods, classes of foods, including subgroups,</w:t>
            </w:r>
            <w:r w:rsidR="000A2D29" w:rsidRPr="009852EE">
              <w:rPr>
                <w:sz w:val="20"/>
                <w:szCs w:val="20"/>
              </w:rPr>
              <w:t xml:space="preserve"> </w:t>
            </w:r>
            <w:r w:rsidRPr="009852EE">
              <w:rPr>
                <w:sz w:val="20"/>
                <w:szCs w:val="20"/>
              </w:rPr>
              <w:t>adopted and established by the</w:t>
            </w:r>
            <w:r w:rsidR="00521523">
              <w:rPr>
                <w:sz w:val="20"/>
                <w:szCs w:val="20"/>
              </w:rPr>
              <w:t xml:space="preserve"> Australian Pesticides and Veterinary Medicines Authority (</w:t>
            </w:r>
            <w:r w:rsidRPr="009852EE">
              <w:rPr>
                <w:sz w:val="20"/>
                <w:szCs w:val="20"/>
              </w:rPr>
              <w:t>APVMA</w:t>
            </w:r>
            <w:r w:rsidR="00521523">
              <w:rPr>
                <w:sz w:val="20"/>
                <w:szCs w:val="20"/>
              </w:rPr>
              <w:t>)</w:t>
            </w:r>
            <w:r w:rsidRPr="009852EE">
              <w:rPr>
                <w:sz w:val="20"/>
                <w:szCs w:val="20"/>
              </w:rPr>
              <w:t xml:space="preserve"> and Codex respectively. This will also assist trading partner</w:t>
            </w:r>
            <w:r w:rsidR="00D814B6">
              <w:rPr>
                <w:sz w:val="20"/>
                <w:szCs w:val="20"/>
              </w:rPr>
              <w:t>s</w:t>
            </w:r>
            <w:r w:rsidRPr="009852EE">
              <w:rPr>
                <w:sz w:val="20"/>
                <w:szCs w:val="20"/>
              </w:rPr>
              <w:t xml:space="preserve"> requesting to align agvet chemicals for food import purposes. A review of Schedule 22 will provide </w:t>
            </w:r>
            <w:r w:rsidRPr="009852EE">
              <w:rPr>
                <w:sz w:val="20"/>
                <w:szCs w:val="20"/>
                <w:lang w:val="en-AU"/>
              </w:rPr>
              <w:t>consistency between food names listed in Schedule</w:t>
            </w:r>
            <w:r w:rsidR="006A4A31">
              <w:rPr>
                <w:sz w:val="20"/>
                <w:szCs w:val="20"/>
                <w:lang w:val="en-AU"/>
              </w:rPr>
              <w:t>s</w:t>
            </w:r>
            <w:r w:rsidRPr="009852EE">
              <w:rPr>
                <w:sz w:val="20"/>
                <w:szCs w:val="20"/>
                <w:lang w:val="en-AU"/>
              </w:rPr>
              <w:t xml:space="preserve"> 20 </w:t>
            </w:r>
            <w:r w:rsidR="006A4A31">
              <w:rPr>
                <w:sz w:val="20"/>
                <w:szCs w:val="20"/>
                <w:lang w:val="en-AU"/>
              </w:rPr>
              <w:t xml:space="preserve">and 21 </w:t>
            </w:r>
            <w:r w:rsidRPr="009852EE">
              <w:rPr>
                <w:sz w:val="20"/>
                <w:szCs w:val="20"/>
                <w:lang w:val="en-AU"/>
              </w:rPr>
              <w:t>and the APVMA MRL Standard</w:t>
            </w:r>
            <w:r w:rsidR="00104181">
              <w:rPr>
                <w:sz w:val="20"/>
                <w:szCs w:val="20"/>
                <w:lang w:val="en-AU"/>
              </w:rPr>
              <w:t xml:space="preserve"> and clarity of how the schedules / standards </w:t>
            </w:r>
            <w:r w:rsidR="006405C2">
              <w:rPr>
                <w:sz w:val="20"/>
                <w:szCs w:val="20"/>
                <w:lang w:val="en-AU"/>
              </w:rPr>
              <w:t>may be interpreted and applied</w:t>
            </w:r>
            <w:r w:rsidRPr="009852EE">
              <w:rPr>
                <w:sz w:val="20"/>
                <w:szCs w:val="20"/>
                <w:lang w:val="en-AU"/>
              </w:rPr>
              <w:t xml:space="preserve">, thereby reducing confusion within Australian food regulatory system, Commonwealth and </w:t>
            </w:r>
            <w:r w:rsidRPr="009852EE">
              <w:rPr>
                <w:sz w:val="20"/>
                <w:szCs w:val="20"/>
              </w:rPr>
              <w:t>state and territory regulatory agencies</w:t>
            </w:r>
            <w:r w:rsidR="00134B85">
              <w:rPr>
                <w:sz w:val="20"/>
                <w:szCs w:val="20"/>
              </w:rPr>
              <w:t xml:space="preserve"> enforcing the requirements of Standard 1.4.2 </w:t>
            </w:r>
            <w:r w:rsidR="00FB6D5F">
              <w:rPr>
                <w:sz w:val="20"/>
                <w:szCs w:val="20"/>
              </w:rPr>
              <w:t>Agvet chemicals</w:t>
            </w:r>
            <w:r w:rsidR="00134B85">
              <w:rPr>
                <w:sz w:val="20"/>
                <w:szCs w:val="20"/>
              </w:rPr>
              <w:t xml:space="preserve"> (Australia only)</w:t>
            </w:r>
            <w:r w:rsidRPr="009852EE">
              <w:rPr>
                <w:sz w:val="20"/>
                <w:szCs w:val="20"/>
              </w:rPr>
              <w:t>.</w:t>
            </w:r>
            <w:r w:rsidR="00506327">
              <w:rPr>
                <w:sz w:val="20"/>
                <w:szCs w:val="20"/>
              </w:rPr>
              <w:t xml:space="preserve"> </w:t>
            </w:r>
            <w:r w:rsidR="006405C2">
              <w:rPr>
                <w:sz w:val="20"/>
                <w:szCs w:val="20"/>
              </w:rPr>
              <w:t xml:space="preserve">In </w:t>
            </w:r>
            <w:r w:rsidR="000B1477">
              <w:rPr>
                <w:sz w:val="20"/>
                <w:szCs w:val="20"/>
              </w:rPr>
              <w:t>preparing a draft variation for the proposal</w:t>
            </w:r>
            <w:r w:rsidR="006405C2">
              <w:rPr>
                <w:sz w:val="20"/>
                <w:szCs w:val="20"/>
              </w:rPr>
              <w:t>, FSANZ will ensure the intent of the original Standard</w:t>
            </w:r>
            <w:r w:rsidR="000B1477">
              <w:rPr>
                <w:sz w:val="20"/>
                <w:szCs w:val="20"/>
              </w:rPr>
              <w:t>s</w:t>
            </w:r>
            <w:r w:rsidR="006405C2">
              <w:rPr>
                <w:sz w:val="20"/>
                <w:szCs w:val="20"/>
              </w:rPr>
              <w:t xml:space="preserve"> </w:t>
            </w:r>
            <w:r w:rsidR="000B1477">
              <w:rPr>
                <w:sz w:val="20"/>
                <w:szCs w:val="20"/>
              </w:rPr>
              <w:t>and</w:t>
            </w:r>
            <w:r w:rsidR="006405C2">
              <w:rPr>
                <w:sz w:val="20"/>
                <w:szCs w:val="20"/>
              </w:rPr>
              <w:t>/</w:t>
            </w:r>
            <w:r w:rsidR="000B1477">
              <w:rPr>
                <w:sz w:val="20"/>
                <w:szCs w:val="20"/>
              </w:rPr>
              <w:t>or</w:t>
            </w:r>
            <w:r w:rsidR="006405C2">
              <w:rPr>
                <w:sz w:val="20"/>
                <w:szCs w:val="20"/>
              </w:rPr>
              <w:t xml:space="preserve"> </w:t>
            </w:r>
            <w:r w:rsidR="000B1477">
              <w:rPr>
                <w:sz w:val="20"/>
                <w:szCs w:val="20"/>
              </w:rPr>
              <w:t>s</w:t>
            </w:r>
            <w:r w:rsidR="006405C2">
              <w:rPr>
                <w:sz w:val="20"/>
                <w:szCs w:val="20"/>
              </w:rPr>
              <w:t>chedule</w:t>
            </w:r>
            <w:r w:rsidR="000B1477">
              <w:rPr>
                <w:sz w:val="20"/>
                <w:szCs w:val="20"/>
              </w:rPr>
              <w:t>s</w:t>
            </w:r>
            <w:r w:rsidR="006405C2">
              <w:rPr>
                <w:sz w:val="20"/>
                <w:szCs w:val="20"/>
              </w:rPr>
              <w:t xml:space="preserve"> that Schedule 22 is referenced in is not affected.</w:t>
            </w:r>
          </w:p>
          <w:p w14:paraId="17BACD84" w14:textId="47224B35" w:rsidR="007211C3" w:rsidRPr="009852EE" w:rsidRDefault="007211C3" w:rsidP="005D1CB7">
            <w:pPr>
              <w:pStyle w:val="Default"/>
              <w:rPr>
                <w:b/>
              </w:rPr>
            </w:pPr>
          </w:p>
        </w:tc>
      </w:tr>
    </w:tbl>
    <w:p w14:paraId="569CAAE7" w14:textId="0BBF8154" w:rsidR="003C6FC6" w:rsidRPr="009852EE" w:rsidRDefault="003C6FC6">
      <w:pPr>
        <w:rPr>
          <w:rFonts w:cs="Arial"/>
          <w:sz w:val="20"/>
          <w:szCs w:val="20"/>
          <w:lang w:val="en-GB"/>
        </w:rPr>
      </w:pPr>
    </w:p>
    <w:p w14:paraId="4CD125DE" w14:textId="77777777" w:rsidR="003C6FC6" w:rsidRPr="009852EE" w:rsidRDefault="003C6FC6">
      <w:pPr>
        <w:rPr>
          <w:rFonts w:cs="Arial"/>
          <w:sz w:val="20"/>
          <w:szCs w:val="20"/>
          <w:lang w:val="en-GB"/>
        </w:rPr>
      </w:pPr>
    </w:p>
    <w:p w14:paraId="235A24D5" w14:textId="06ED87A8" w:rsidR="004A69D0" w:rsidRPr="009852EE" w:rsidRDefault="004A69D0" w:rsidP="00AB791A">
      <w:pPr>
        <w:rPr>
          <w:rFonts w:cs="Arial"/>
          <w:b/>
          <w:i/>
          <w:color w:val="FF0000"/>
          <w:sz w:val="20"/>
          <w:szCs w:val="20"/>
          <w:lang w:val="en-GB"/>
        </w:rPr>
      </w:pPr>
      <w:r w:rsidRPr="009852EE">
        <w:rPr>
          <w:rFonts w:cs="Arial"/>
          <w:b/>
          <w:i/>
          <w:sz w:val="20"/>
          <w:szCs w:val="20"/>
          <w:lang w:val="en-GB"/>
        </w:rPr>
        <w:t>D</w:t>
      </w:r>
      <w:r w:rsidR="007E0C60" w:rsidRPr="009852EE">
        <w:rPr>
          <w:rFonts w:cs="Arial"/>
          <w:b/>
          <w:i/>
          <w:sz w:val="20"/>
          <w:szCs w:val="20"/>
          <w:lang w:val="en-GB"/>
        </w:rPr>
        <w:t>ecision</w:t>
      </w:r>
      <w:r w:rsidR="00EE107D" w:rsidRPr="009852EE">
        <w:rPr>
          <w:rFonts w:cs="Arial"/>
          <w:b/>
          <w:i/>
          <w:sz w:val="20"/>
          <w:szCs w:val="20"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9852EE" w14:paraId="49542BE9" w14:textId="77777777" w:rsidTr="00F727D5">
        <w:trPr>
          <w:cantSplit/>
          <w:trHeight w:val="523"/>
        </w:trPr>
        <w:tc>
          <w:tcPr>
            <w:tcW w:w="9072" w:type="dxa"/>
          </w:tcPr>
          <w:p w14:paraId="5443B926" w14:textId="38D1EE34" w:rsidR="004A69D0" w:rsidRPr="000324D8" w:rsidRDefault="003E4886" w:rsidP="007E0C60">
            <w:pPr>
              <w:pStyle w:val="AARTableText"/>
              <w:rPr>
                <w:b/>
                <w:lang w:val="en-GB"/>
              </w:rPr>
            </w:pPr>
            <w:r w:rsidRPr="000324D8">
              <w:rPr>
                <w:b/>
                <w:lang w:val="en-GB"/>
              </w:rPr>
              <w:t>Proposal</w:t>
            </w:r>
            <w:r w:rsidR="004A69D0" w:rsidRPr="000324D8">
              <w:rPr>
                <w:b/>
                <w:lang w:val="en-GB"/>
              </w:rPr>
              <w:t xml:space="preserve"> accepted </w:t>
            </w:r>
          </w:p>
          <w:p w14:paraId="4522C25E" w14:textId="77777777" w:rsidR="004A69D0" w:rsidRPr="009852EE" w:rsidRDefault="004A69D0" w:rsidP="007E0C60">
            <w:pPr>
              <w:pStyle w:val="AARTableText"/>
              <w:rPr>
                <w:lang w:val="en-GB"/>
              </w:rPr>
            </w:pPr>
          </w:p>
          <w:p w14:paraId="3A577C9B" w14:textId="18199171" w:rsidR="004A69D0" w:rsidRPr="009852EE" w:rsidRDefault="004A69D0" w:rsidP="000324D8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>Date</w:t>
            </w:r>
            <w:r w:rsidRPr="009852EE">
              <w:rPr>
                <w:lang w:val="en-GB"/>
              </w:rPr>
              <w:t xml:space="preserve">:  </w:t>
            </w:r>
            <w:r w:rsidR="000324D8">
              <w:rPr>
                <w:lang w:val="en-GB"/>
              </w:rPr>
              <w:t>25 June 2021</w:t>
            </w:r>
          </w:p>
        </w:tc>
      </w:tr>
    </w:tbl>
    <w:p w14:paraId="3D256F2C" w14:textId="77777777" w:rsidR="004A69D0" w:rsidRPr="009852EE" w:rsidRDefault="004A69D0" w:rsidP="004A69D0">
      <w:pPr>
        <w:rPr>
          <w:rFonts w:cs="Arial"/>
          <w:b/>
          <w:i/>
          <w:sz w:val="20"/>
          <w:szCs w:val="20"/>
          <w:lang w:val="en-GB"/>
        </w:rPr>
      </w:pPr>
    </w:p>
    <w:p w14:paraId="6026C98B" w14:textId="6F43B07A" w:rsidR="004A69D0" w:rsidRPr="009852EE" w:rsidRDefault="004A69D0">
      <w:pPr>
        <w:rPr>
          <w:rFonts w:cs="Arial"/>
          <w:sz w:val="20"/>
          <w:szCs w:val="20"/>
          <w:lang w:val="en-GB"/>
        </w:rPr>
      </w:pPr>
    </w:p>
    <w:p w14:paraId="4D64B9B2" w14:textId="77777777" w:rsidR="001718B2" w:rsidRPr="009852EE" w:rsidRDefault="002F11DE" w:rsidP="002F11DE">
      <w:pPr>
        <w:rPr>
          <w:rFonts w:cs="Arial"/>
          <w:b/>
          <w:i/>
          <w:sz w:val="20"/>
          <w:szCs w:val="20"/>
          <w:lang w:val="en-GB"/>
        </w:rPr>
      </w:pPr>
      <w:r w:rsidRPr="009852EE">
        <w:rPr>
          <w:rFonts w:cs="Arial"/>
          <w:b/>
          <w:i/>
          <w:sz w:val="20"/>
          <w:szCs w:val="20"/>
          <w:lang w:val="en-GB"/>
        </w:rPr>
        <w:t xml:space="preserve">Consultation </w:t>
      </w:r>
      <w:r w:rsidR="001718B2" w:rsidRPr="009852EE">
        <w:rPr>
          <w:rFonts w:cs="Arial"/>
          <w:b/>
          <w:i/>
          <w:sz w:val="20"/>
          <w:szCs w:val="20"/>
          <w:lang w:val="en-GB"/>
        </w:rPr>
        <w:t xml:space="preserve">&amp; </w:t>
      </w:r>
      <w:r w:rsidRPr="009852EE">
        <w:rPr>
          <w:rFonts w:cs="Arial"/>
          <w:b/>
          <w:i/>
          <w:sz w:val="20"/>
          <w:szCs w:val="20"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9852EE" w14:paraId="72A36499" w14:textId="77777777" w:rsidTr="000A071C">
        <w:trPr>
          <w:cantSplit/>
          <w:trHeight w:val="1014"/>
        </w:trPr>
        <w:tc>
          <w:tcPr>
            <w:tcW w:w="8182" w:type="dxa"/>
          </w:tcPr>
          <w:p w14:paraId="2C34B9EE" w14:textId="5ABCD3CD" w:rsidR="00EC0EA4" w:rsidRPr="009852EE" w:rsidRDefault="00EC0EA4" w:rsidP="002F11DE">
            <w:pPr>
              <w:pStyle w:val="AARTableText"/>
              <w:rPr>
                <w:b/>
                <w:lang w:val="en-GB"/>
              </w:rPr>
            </w:pPr>
            <w:r w:rsidRPr="009852EE">
              <w:rPr>
                <w:b/>
                <w:lang w:val="en-GB"/>
              </w:rPr>
              <w:t xml:space="preserve">Proposed length of public consultation period:  </w:t>
            </w:r>
          </w:p>
          <w:p w14:paraId="5F3EFC19" w14:textId="7A3CBD3A" w:rsidR="003E4886" w:rsidRPr="00A7493A" w:rsidRDefault="000A071C" w:rsidP="003E4886">
            <w:pPr>
              <w:pStyle w:val="AARTableText"/>
            </w:pPr>
            <w:r w:rsidRPr="00A7493A">
              <w:t>42 day (6 weeks)</w:t>
            </w:r>
            <w:r w:rsidR="003E4886" w:rsidRPr="00A7493A">
              <w:t xml:space="preserve"> (Domestic)</w:t>
            </w:r>
          </w:p>
          <w:p w14:paraId="462ACA65" w14:textId="07862D60" w:rsidR="00EC0EA4" w:rsidRPr="009852EE" w:rsidRDefault="003E4886" w:rsidP="000A071C">
            <w:pPr>
              <w:rPr>
                <w:rFonts w:cs="Arial"/>
                <w:color w:val="FF0000"/>
                <w:sz w:val="20"/>
                <w:szCs w:val="20"/>
                <w:lang w:val="en-GB"/>
              </w:rPr>
            </w:pPr>
            <w:r w:rsidRPr="00A7493A">
              <w:rPr>
                <w:rFonts w:cs="Arial"/>
                <w:sz w:val="20"/>
                <w:szCs w:val="20"/>
              </w:rPr>
              <w:t>60 days (WTO member countries)</w:t>
            </w:r>
          </w:p>
        </w:tc>
      </w:tr>
      <w:tr w:rsidR="00F85328" w:rsidRPr="009852EE" w14:paraId="56D1D2DB" w14:textId="77777777" w:rsidTr="000A071C">
        <w:trPr>
          <w:cantSplit/>
          <w:trHeight w:val="3280"/>
        </w:trPr>
        <w:tc>
          <w:tcPr>
            <w:tcW w:w="8182" w:type="dxa"/>
          </w:tcPr>
          <w:p w14:paraId="01572E9B" w14:textId="77777777" w:rsidR="001718B2" w:rsidRPr="009852EE" w:rsidRDefault="008D6BEA" w:rsidP="00AB791A">
            <w:pPr>
              <w:pStyle w:val="AARTableText"/>
              <w:rPr>
                <w:lang w:val="en-GB"/>
              </w:rPr>
            </w:pPr>
            <w:r w:rsidRPr="009852EE">
              <w:rPr>
                <w:b/>
                <w:lang w:val="en-GB"/>
              </w:rPr>
              <w:t>Proposed t</w:t>
            </w:r>
            <w:r w:rsidR="00AA7C1E" w:rsidRPr="009852EE">
              <w:rPr>
                <w:b/>
                <w:lang w:val="en-GB"/>
              </w:rPr>
              <w:t xml:space="preserve">imeframe for </w:t>
            </w:r>
            <w:r w:rsidRPr="009852EE">
              <w:rPr>
                <w:b/>
                <w:lang w:val="en-GB"/>
              </w:rPr>
              <w:t>a</w:t>
            </w:r>
            <w:r w:rsidR="00F85328" w:rsidRPr="009852EE">
              <w:rPr>
                <w:b/>
                <w:lang w:val="en-GB"/>
              </w:rPr>
              <w:t>ssessment:</w:t>
            </w:r>
          </w:p>
          <w:p w14:paraId="4EE7CE02" w14:textId="77777777" w:rsidR="001718B2" w:rsidRPr="009852EE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DD710AF" w14:textId="77777777" w:rsidR="00865A72" w:rsidRPr="00F2416D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F2416D">
              <w:rPr>
                <w:u w:val="single"/>
                <w:lang w:val="en-GB"/>
              </w:rPr>
              <w:t>General Procedure</w:t>
            </w:r>
            <w:r w:rsidR="00865A72" w:rsidRPr="00F2416D">
              <w:rPr>
                <w:u w:val="single"/>
                <w:lang w:val="en-GB"/>
              </w:rPr>
              <w:t>:</w:t>
            </w:r>
          </w:p>
          <w:p w14:paraId="2EA7E596" w14:textId="55D2AA73" w:rsidR="00E83AFA" w:rsidRPr="00F241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2416D">
              <w:rPr>
                <w:lang w:val="en-GB"/>
              </w:rPr>
              <w:t xml:space="preserve">Commence </w:t>
            </w:r>
            <w:r w:rsidR="006814C5" w:rsidRPr="00F2416D">
              <w:rPr>
                <w:lang w:val="en-GB"/>
              </w:rPr>
              <w:t>a</w:t>
            </w:r>
            <w:r w:rsidRPr="00F2416D">
              <w:rPr>
                <w:lang w:val="en-GB"/>
              </w:rPr>
              <w:t>ssessment (clock start)</w:t>
            </w:r>
            <w:r w:rsidRPr="00F2416D">
              <w:rPr>
                <w:lang w:val="en-GB"/>
              </w:rPr>
              <w:tab/>
            </w:r>
            <w:r w:rsidR="00940873">
              <w:rPr>
                <w:lang w:val="en-GB"/>
              </w:rPr>
              <w:t>Early June</w:t>
            </w:r>
            <w:r w:rsidR="003D4E40" w:rsidRPr="00F2416D">
              <w:rPr>
                <w:lang w:val="en-GB"/>
              </w:rPr>
              <w:t xml:space="preserve"> </w:t>
            </w:r>
            <w:r w:rsidR="003323DA" w:rsidRPr="00F2416D">
              <w:rPr>
                <w:lang w:val="en-GB"/>
              </w:rPr>
              <w:t>2021</w:t>
            </w:r>
          </w:p>
          <w:p w14:paraId="7A1F876D" w14:textId="1E49EACE" w:rsidR="00E83AFA" w:rsidRPr="00F241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2416D">
              <w:rPr>
                <w:lang w:val="en-GB"/>
              </w:rPr>
              <w:t xml:space="preserve">Completion of </w:t>
            </w:r>
            <w:r w:rsidR="006814C5" w:rsidRPr="00F2416D">
              <w:rPr>
                <w:lang w:val="en-GB"/>
              </w:rPr>
              <w:t>a</w:t>
            </w:r>
            <w:r w:rsidRPr="00F2416D">
              <w:rPr>
                <w:lang w:val="en-GB"/>
              </w:rPr>
              <w:t>ssessment</w:t>
            </w:r>
            <w:r w:rsidR="006814C5" w:rsidRPr="00F2416D">
              <w:rPr>
                <w:lang w:val="en-GB"/>
              </w:rPr>
              <w:t xml:space="preserve"> &amp; preparation of draft food reg</w:t>
            </w:r>
            <w:r w:rsidR="00340535">
              <w:rPr>
                <w:lang w:val="en-GB"/>
              </w:rPr>
              <w:t>.</w:t>
            </w:r>
            <w:r w:rsidR="006814C5" w:rsidRPr="00F2416D">
              <w:rPr>
                <w:lang w:val="en-GB"/>
              </w:rPr>
              <w:t xml:space="preserve"> measure</w:t>
            </w:r>
            <w:r w:rsidRPr="00F2416D">
              <w:rPr>
                <w:lang w:val="en-GB"/>
              </w:rPr>
              <w:tab/>
            </w:r>
            <w:r w:rsidR="003D4E40" w:rsidRPr="00F2416D">
              <w:rPr>
                <w:lang w:val="en-GB"/>
              </w:rPr>
              <w:t>Late July 2021</w:t>
            </w:r>
          </w:p>
          <w:p w14:paraId="269B5BEE" w14:textId="0390E5AC" w:rsidR="00B40B24" w:rsidRPr="00F241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2416D">
              <w:rPr>
                <w:lang w:val="en-GB"/>
              </w:rPr>
              <w:t>Public comment</w:t>
            </w:r>
            <w:r w:rsidRPr="00F2416D">
              <w:rPr>
                <w:lang w:val="en-GB"/>
              </w:rPr>
              <w:tab/>
            </w:r>
            <w:r w:rsidR="003D4E40" w:rsidRPr="00F2416D">
              <w:rPr>
                <w:lang w:val="en-GB"/>
              </w:rPr>
              <w:t>Early August 2021 – September 2021</w:t>
            </w:r>
          </w:p>
          <w:p w14:paraId="312292B4" w14:textId="6BAF47A5" w:rsidR="00E83AFA" w:rsidRPr="00F241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2416D">
              <w:rPr>
                <w:lang w:val="en-GB"/>
              </w:rPr>
              <w:t xml:space="preserve">Board to complete </w:t>
            </w:r>
            <w:r w:rsidR="006814C5" w:rsidRPr="00F2416D">
              <w:rPr>
                <w:lang w:val="en-GB"/>
              </w:rPr>
              <w:t>a</w:t>
            </w:r>
            <w:r w:rsidRPr="00F2416D">
              <w:rPr>
                <w:lang w:val="en-GB"/>
              </w:rPr>
              <w:t>pproval</w:t>
            </w:r>
            <w:r w:rsidRPr="00F2416D">
              <w:rPr>
                <w:lang w:val="en-GB"/>
              </w:rPr>
              <w:tab/>
            </w:r>
            <w:r w:rsidR="003D4E40" w:rsidRPr="00F2416D">
              <w:rPr>
                <w:lang w:val="en-GB"/>
              </w:rPr>
              <w:t xml:space="preserve">Early </w:t>
            </w:r>
            <w:r w:rsidR="00E12FF3">
              <w:rPr>
                <w:lang w:val="en-GB"/>
              </w:rPr>
              <w:t>February</w:t>
            </w:r>
            <w:r w:rsidR="003D4E40" w:rsidRPr="00F2416D">
              <w:rPr>
                <w:lang w:val="en-GB"/>
              </w:rPr>
              <w:t xml:space="preserve"> </w:t>
            </w:r>
            <w:r w:rsidR="00F2416D" w:rsidRPr="00F2416D">
              <w:rPr>
                <w:lang w:val="en-GB"/>
              </w:rPr>
              <w:t>2022</w:t>
            </w:r>
          </w:p>
          <w:p w14:paraId="1662C3AF" w14:textId="7A49623C" w:rsidR="00E83AFA" w:rsidRPr="00F241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2416D">
              <w:rPr>
                <w:lang w:val="en-GB"/>
              </w:rPr>
              <w:t>Notification to</w:t>
            </w:r>
            <w:r w:rsidR="006814C5" w:rsidRPr="00F2416D">
              <w:rPr>
                <w:lang w:val="en-GB"/>
              </w:rPr>
              <w:t xml:space="preserve"> </w:t>
            </w:r>
            <w:r w:rsidR="009802C1">
              <w:rPr>
                <w:lang w:val="en-GB"/>
              </w:rPr>
              <w:t>Ministers’ Meeting</w:t>
            </w:r>
            <w:r w:rsidRPr="00F2416D">
              <w:rPr>
                <w:lang w:val="en-GB"/>
              </w:rPr>
              <w:tab/>
            </w:r>
            <w:r w:rsidR="00E12FF3">
              <w:rPr>
                <w:lang w:val="en-GB"/>
              </w:rPr>
              <w:t>Early March</w:t>
            </w:r>
            <w:r w:rsidR="00F2416D" w:rsidRPr="00F2416D">
              <w:rPr>
                <w:lang w:val="en-GB"/>
              </w:rPr>
              <w:t xml:space="preserve"> 2022</w:t>
            </w:r>
          </w:p>
          <w:p w14:paraId="65F9BE34" w14:textId="7428B4AF" w:rsidR="00E83AFA" w:rsidRPr="00F2416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F2416D">
              <w:rPr>
                <w:lang w:val="en-GB"/>
              </w:rPr>
              <w:t>Anticipated gazettal if no review requested</w:t>
            </w:r>
            <w:r w:rsidRPr="00F2416D">
              <w:rPr>
                <w:lang w:val="en-GB"/>
              </w:rPr>
              <w:tab/>
            </w:r>
            <w:r w:rsidR="00E12FF3">
              <w:rPr>
                <w:lang w:val="en-GB"/>
              </w:rPr>
              <w:t>Mid</w:t>
            </w:r>
            <w:r w:rsidR="00F2416D" w:rsidRPr="00F2416D">
              <w:rPr>
                <w:lang w:val="en-GB"/>
              </w:rPr>
              <w:t xml:space="preserve"> March 2022</w:t>
            </w:r>
          </w:p>
          <w:p w14:paraId="7D0C2AC5" w14:textId="77777777" w:rsidR="00865A72" w:rsidRPr="009852EE" w:rsidRDefault="00865A72" w:rsidP="000A071C">
            <w:pPr>
              <w:pStyle w:val="AARTableText"/>
              <w:rPr>
                <w:lang w:val="en-GB"/>
              </w:rPr>
            </w:pPr>
          </w:p>
        </w:tc>
      </w:tr>
    </w:tbl>
    <w:p w14:paraId="4A930F2C" w14:textId="77777777" w:rsidR="00D140FE" w:rsidRPr="009852EE" w:rsidRDefault="00D140FE">
      <w:pPr>
        <w:rPr>
          <w:rFonts w:cs="Arial"/>
          <w:sz w:val="20"/>
          <w:szCs w:val="20"/>
          <w:lang w:val="en-GB"/>
        </w:rPr>
      </w:pPr>
    </w:p>
    <w:p w14:paraId="06B9EF3E" w14:textId="77777777" w:rsidR="008A0E0A" w:rsidRPr="009852EE" w:rsidRDefault="008A0E0A" w:rsidP="00AB791A">
      <w:pPr>
        <w:rPr>
          <w:rFonts w:cs="Arial"/>
          <w:sz w:val="20"/>
          <w:szCs w:val="20"/>
          <w:lang w:val="en-GB"/>
        </w:rPr>
        <w:sectPr w:rsidR="008A0E0A" w:rsidRPr="009852EE" w:rsidSect="00EE27D6">
          <w:footerReference w:type="even" r:id="rId13"/>
          <w:footerReference w:type="default" r:id="rId14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3C45823D" w14:textId="388A4936" w:rsidR="00D140FE" w:rsidRPr="009852EE" w:rsidRDefault="00D140FE" w:rsidP="00283C30">
      <w:pPr>
        <w:jc w:val="center"/>
        <w:rPr>
          <w:rFonts w:cs="Arial"/>
          <w:sz w:val="20"/>
          <w:szCs w:val="20"/>
          <w:lang w:val="en-GB"/>
        </w:rPr>
      </w:pPr>
    </w:p>
    <w:sectPr w:rsidR="00D140FE" w:rsidRPr="009852EE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6B375" w14:textId="77777777" w:rsidR="00EF7D4C" w:rsidRDefault="00EF7D4C">
      <w:r>
        <w:separator/>
      </w:r>
    </w:p>
  </w:endnote>
  <w:endnote w:type="continuationSeparator" w:id="0">
    <w:p w14:paraId="2593A124" w14:textId="77777777" w:rsidR="00EF7D4C" w:rsidRDefault="00EF7D4C">
      <w:r>
        <w:continuationSeparator/>
      </w:r>
    </w:p>
  </w:endnote>
  <w:endnote w:type="continuationNotice" w:id="1">
    <w:p w14:paraId="4036014C" w14:textId="77777777" w:rsidR="00EF7D4C" w:rsidRDefault="00EF7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2757E" w14:textId="77777777" w:rsidR="000A2D29" w:rsidRDefault="000A2D29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2521D" w14:textId="77777777" w:rsidR="000A2D29" w:rsidRDefault="000A2D29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C3D6" w14:textId="03C304DC" w:rsidR="000A2D29" w:rsidRPr="00007068" w:rsidRDefault="000A2D2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306A58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5C9ADCBB" w14:textId="77777777" w:rsidR="000A2D29" w:rsidRDefault="000A2D29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B920" w14:textId="7540DF5C" w:rsidR="000A2D29" w:rsidRPr="00007068" w:rsidRDefault="000A2D2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306A58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0936BB4C" w14:textId="77777777" w:rsidR="000A2D29" w:rsidRDefault="000A2D29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0C5D" w14:textId="77777777" w:rsidR="00EF7D4C" w:rsidRDefault="00EF7D4C">
      <w:r>
        <w:separator/>
      </w:r>
    </w:p>
  </w:footnote>
  <w:footnote w:type="continuationSeparator" w:id="0">
    <w:p w14:paraId="0F2ADA49" w14:textId="77777777" w:rsidR="00EF7D4C" w:rsidRDefault="00EF7D4C">
      <w:r>
        <w:continuationSeparator/>
      </w:r>
    </w:p>
  </w:footnote>
  <w:footnote w:type="continuationNotice" w:id="1">
    <w:p w14:paraId="2955897F" w14:textId="77777777" w:rsidR="00EF7D4C" w:rsidRDefault="00EF7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B0B4" w14:textId="20585724" w:rsidR="000A2D29" w:rsidRPr="00730E4B" w:rsidRDefault="000A2D29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3C1"/>
    <w:multiLevelType w:val="hybridMultilevel"/>
    <w:tmpl w:val="4E08E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856"/>
    <w:multiLevelType w:val="hybridMultilevel"/>
    <w:tmpl w:val="9930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3AA7"/>
    <w:multiLevelType w:val="hybridMultilevel"/>
    <w:tmpl w:val="B210B3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69CE"/>
    <w:multiLevelType w:val="hybridMultilevel"/>
    <w:tmpl w:val="A1523DD0"/>
    <w:lvl w:ilvl="0" w:tplc="9F60C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63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F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80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66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EE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85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2C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0B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1541C7"/>
    <w:multiLevelType w:val="hybridMultilevel"/>
    <w:tmpl w:val="7D721CA8"/>
    <w:lvl w:ilvl="0" w:tplc="CA802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67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AF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87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0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EE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08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87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C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B96673"/>
    <w:multiLevelType w:val="hybridMultilevel"/>
    <w:tmpl w:val="09C05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C7FE9"/>
    <w:multiLevelType w:val="hybridMultilevel"/>
    <w:tmpl w:val="A4EC6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1183A"/>
    <w:multiLevelType w:val="hybridMultilevel"/>
    <w:tmpl w:val="18387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66"/>
    <w:rsid w:val="00007068"/>
    <w:rsid w:val="00017D8C"/>
    <w:rsid w:val="00023246"/>
    <w:rsid w:val="00027F96"/>
    <w:rsid w:val="000324D8"/>
    <w:rsid w:val="000340B5"/>
    <w:rsid w:val="000444B9"/>
    <w:rsid w:val="00055130"/>
    <w:rsid w:val="00056256"/>
    <w:rsid w:val="00056591"/>
    <w:rsid w:val="00060FC5"/>
    <w:rsid w:val="00064684"/>
    <w:rsid w:val="0007697A"/>
    <w:rsid w:val="00085DD2"/>
    <w:rsid w:val="00097B35"/>
    <w:rsid w:val="000A071C"/>
    <w:rsid w:val="000A14DA"/>
    <w:rsid w:val="000A2D29"/>
    <w:rsid w:val="000B1477"/>
    <w:rsid w:val="000B68ED"/>
    <w:rsid w:val="000C2412"/>
    <w:rsid w:val="000D0BB5"/>
    <w:rsid w:val="000E32D9"/>
    <w:rsid w:val="000E4FCE"/>
    <w:rsid w:val="000E6881"/>
    <w:rsid w:val="000F0B67"/>
    <w:rsid w:val="00104181"/>
    <w:rsid w:val="00105F8A"/>
    <w:rsid w:val="001069C5"/>
    <w:rsid w:val="00112725"/>
    <w:rsid w:val="00134B85"/>
    <w:rsid w:val="00135A96"/>
    <w:rsid w:val="0014268F"/>
    <w:rsid w:val="00164DF8"/>
    <w:rsid w:val="00165663"/>
    <w:rsid w:val="00166AFD"/>
    <w:rsid w:val="001718B2"/>
    <w:rsid w:val="00183946"/>
    <w:rsid w:val="00192C55"/>
    <w:rsid w:val="001947DF"/>
    <w:rsid w:val="00195955"/>
    <w:rsid w:val="001A6521"/>
    <w:rsid w:val="001B11D9"/>
    <w:rsid w:val="001B6963"/>
    <w:rsid w:val="001C108D"/>
    <w:rsid w:val="001C32E7"/>
    <w:rsid w:val="001C66CB"/>
    <w:rsid w:val="001E7C99"/>
    <w:rsid w:val="001F79F9"/>
    <w:rsid w:val="00227F1E"/>
    <w:rsid w:val="00232DD2"/>
    <w:rsid w:val="002340D4"/>
    <w:rsid w:val="00237F8F"/>
    <w:rsid w:val="00241EA9"/>
    <w:rsid w:val="00245910"/>
    <w:rsid w:val="00246FD2"/>
    <w:rsid w:val="00247FF6"/>
    <w:rsid w:val="00250E96"/>
    <w:rsid w:val="00251BAD"/>
    <w:rsid w:val="00252471"/>
    <w:rsid w:val="00256BAE"/>
    <w:rsid w:val="00256F2B"/>
    <w:rsid w:val="002662F1"/>
    <w:rsid w:val="00266382"/>
    <w:rsid w:val="00283C30"/>
    <w:rsid w:val="00293D3F"/>
    <w:rsid w:val="002A4AF5"/>
    <w:rsid w:val="002B64BE"/>
    <w:rsid w:val="002B7B28"/>
    <w:rsid w:val="002C2FBC"/>
    <w:rsid w:val="002D548C"/>
    <w:rsid w:val="002D67F0"/>
    <w:rsid w:val="002E2949"/>
    <w:rsid w:val="002E53AF"/>
    <w:rsid w:val="002E53BB"/>
    <w:rsid w:val="002E7A9E"/>
    <w:rsid w:val="002F11DE"/>
    <w:rsid w:val="002F5A80"/>
    <w:rsid w:val="002F6573"/>
    <w:rsid w:val="00304E91"/>
    <w:rsid w:val="00306A58"/>
    <w:rsid w:val="0031139B"/>
    <w:rsid w:val="003142AD"/>
    <w:rsid w:val="003164FB"/>
    <w:rsid w:val="00320F5B"/>
    <w:rsid w:val="00322AD7"/>
    <w:rsid w:val="00331F30"/>
    <w:rsid w:val="00331F3D"/>
    <w:rsid w:val="003323DA"/>
    <w:rsid w:val="00332638"/>
    <w:rsid w:val="00334CAA"/>
    <w:rsid w:val="00334CD5"/>
    <w:rsid w:val="003400D2"/>
    <w:rsid w:val="00340535"/>
    <w:rsid w:val="003463B9"/>
    <w:rsid w:val="0035305F"/>
    <w:rsid w:val="00355CE5"/>
    <w:rsid w:val="00361B06"/>
    <w:rsid w:val="00373522"/>
    <w:rsid w:val="003774AA"/>
    <w:rsid w:val="0038436F"/>
    <w:rsid w:val="00385183"/>
    <w:rsid w:val="0039100B"/>
    <w:rsid w:val="003C2A80"/>
    <w:rsid w:val="003C41D3"/>
    <w:rsid w:val="003C6FC6"/>
    <w:rsid w:val="003D2E86"/>
    <w:rsid w:val="003D4E40"/>
    <w:rsid w:val="003E07B6"/>
    <w:rsid w:val="003E0A9C"/>
    <w:rsid w:val="003E4886"/>
    <w:rsid w:val="003F77FA"/>
    <w:rsid w:val="0041478F"/>
    <w:rsid w:val="00417A50"/>
    <w:rsid w:val="004328BD"/>
    <w:rsid w:val="004333CE"/>
    <w:rsid w:val="0043532E"/>
    <w:rsid w:val="00442EB8"/>
    <w:rsid w:val="00446F3D"/>
    <w:rsid w:val="00451F4B"/>
    <w:rsid w:val="00475CF6"/>
    <w:rsid w:val="004806A5"/>
    <w:rsid w:val="00481301"/>
    <w:rsid w:val="00487BB5"/>
    <w:rsid w:val="004A4B83"/>
    <w:rsid w:val="004A69D0"/>
    <w:rsid w:val="004C65AB"/>
    <w:rsid w:val="004D2594"/>
    <w:rsid w:val="004E02F5"/>
    <w:rsid w:val="004F413A"/>
    <w:rsid w:val="00504552"/>
    <w:rsid w:val="00506327"/>
    <w:rsid w:val="0051191E"/>
    <w:rsid w:val="00521523"/>
    <w:rsid w:val="005403F8"/>
    <w:rsid w:val="00541C55"/>
    <w:rsid w:val="00561980"/>
    <w:rsid w:val="00571156"/>
    <w:rsid w:val="00573AA0"/>
    <w:rsid w:val="00573C41"/>
    <w:rsid w:val="00577659"/>
    <w:rsid w:val="00582380"/>
    <w:rsid w:val="00584551"/>
    <w:rsid w:val="00596554"/>
    <w:rsid w:val="005A6774"/>
    <w:rsid w:val="005B4C6F"/>
    <w:rsid w:val="005D1CB7"/>
    <w:rsid w:val="005D6711"/>
    <w:rsid w:val="005E24D6"/>
    <w:rsid w:val="005E2F59"/>
    <w:rsid w:val="005F47D2"/>
    <w:rsid w:val="005F75E4"/>
    <w:rsid w:val="0061017C"/>
    <w:rsid w:val="006102A0"/>
    <w:rsid w:val="00632D7F"/>
    <w:rsid w:val="006350D9"/>
    <w:rsid w:val="006405C2"/>
    <w:rsid w:val="00641669"/>
    <w:rsid w:val="00647C07"/>
    <w:rsid w:val="00660467"/>
    <w:rsid w:val="0066113A"/>
    <w:rsid w:val="0066320E"/>
    <w:rsid w:val="00664801"/>
    <w:rsid w:val="00666914"/>
    <w:rsid w:val="00671089"/>
    <w:rsid w:val="006814C5"/>
    <w:rsid w:val="0068266A"/>
    <w:rsid w:val="006929CA"/>
    <w:rsid w:val="006A4A31"/>
    <w:rsid w:val="006B732D"/>
    <w:rsid w:val="006C560B"/>
    <w:rsid w:val="006C596A"/>
    <w:rsid w:val="00701B29"/>
    <w:rsid w:val="007041FC"/>
    <w:rsid w:val="007110D9"/>
    <w:rsid w:val="007211C3"/>
    <w:rsid w:val="00724966"/>
    <w:rsid w:val="00730E4B"/>
    <w:rsid w:val="00742870"/>
    <w:rsid w:val="0074717E"/>
    <w:rsid w:val="00751D9C"/>
    <w:rsid w:val="00753500"/>
    <w:rsid w:val="00762A23"/>
    <w:rsid w:val="007634BB"/>
    <w:rsid w:val="007675CC"/>
    <w:rsid w:val="00771DFE"/>
    <w:rsid w:val="00772A12"/>
    <w:rsid w:val="00792C1B"/>
    <w:rsid w:val="007A5E91"/>
    <w:rsid w:val="007B673C"/>
    <w:rsid w:val="007C337A"/>
    <w:rsid w:val="007D22C5"/>
    <w:rsid w:val="007D3D59"/>
    <w:rsid w:val="007E0C60"/>
    <w:rsid w:val="007E771D"/>
    <w:rsid w:val="00801C7F"/>
    <w:rsid w:val="008020CC"/>
    <w:rsid w:val="00804730"/>
    <w:rsid w:val="0083767A"/>
    <w:rsid w:val="00837C80"/>
    <w:rsid w:val="008458D0"/>
    <w:rsid w:val="008501A5"/>
    <w:rsid w:val="0086503D"/>
    <w:rsid w:val="00865A72"/>
    <w:rsid w:val="00866B43"/>
    <w:rsid w:val="00871B64"/>
    <w:rsid w:val="00873DB2"/>
    <w:rsid w:val="008801FC"/>
    <w:rsid w:val="00880B26"/>
    <w:rsid w:val="008904F4"/>
    <w:rsid w:val="008A0E0A"/>
    <w:rsid w:val="008B0080"/>
    <w:rsid w:val="008B36C2"/>
    <w:rsid w:val="008B4635"/>
    <w:rsid w:val="008B6381"/>
    <w:rsid w:val="008C0DDE"/>
    <w:rsid w:val="008C4B2B"/>
    <w:rsid w:val="008C4F6D"/>
    <w:rsid w:val="008D6BEA"/>
    <w:rsid w:val="008E16A6"/>
    <w:rsid w:val="008E730C"/>
    <w:rsid w:val="00907039"/>
    <w:rsid w:val="00911B0E"/>
    <w:rsid w:val="00915D22"/>
    <w:rsid w:val="00917C5A"/>
    <w:rsid w:val="00921B76"/>
    <w:rsid w:val="009236A3"/>
    <w:rsid w:val="00925908"/>
    <w:rsid w:val="00935B55"/>
    <w:rsid w:val="00935F1C"/>
    <w:rsid w:val="00940873"/>
    <w:rsid w:val="00940F94"/>
    <w:rsid w:val="00947BEB"/>
    <w:rsid w:val="00953924"/>
    <w:rsid w:val="00972C3A"/>
    <w:rsid w:val="00973E51"/>
    <w:rsid w:val="009759BE"/>
    <w:rsid w:val="009802C1"/>
    <w:rsid w:val="009852EE"/>
    <w:rsid w:val="009A24A2"/>
    <w:rsid w:val="009A5575"/>
    <w:rsid w:val="009B772C"/>
    <w:rsid w:val="009D01B9"/>
    <w:rsid w:val="009D0E6E"/>
    <w:rsid w:val="009D2ECE"/>
    <w:rsid w:val="009D6690"/>
    <w:rsid w:val="009E371F"/>
    <w:rsid w:val="009E6300"/>
    <w:rsid w:val="009F45BB"/>
    <w:rsid w:val="009F7E71"/>
    <w:rsid w:val="00A022A2"/>
    <w:rsid w:val="00A03993"/>
    <w:rsid w:val="00A0422A"/>
    <w:rsid w:val="00A24E73"/>
    <w:rsid w:val="00A26A65"/>
    <w:rsid w:val="00A375C7"/>
    <w:rsid w:val="00A43B6B"/>
    <w:rsid w:val="00A52109"/>
    <w:rsid w:val="00A555E0"/>
    <w:rsid w:val="00A55E6C"/>
    <w:rsid w:val="00A65FA1"/>
    <w:rsid w:val="00A665C8"/>
    <w:rsid w:val="00A70A2A"/>
    <w:rsid w:val="00A72AAA"/>
    <w:rsid w:val="00A7493A"/>
    <w:rsid w:val="00A85731"/>
    <w:rsid w:val="00AA043D"/>
    <w:rsid w:val="00AA5F79"/>
    <w:rsid w:val="00AA7C1E"/>
    <w:rsid w:val="00AB13F2"/>
    <w:rsid w:val="00AB288C"/>
    <w:rsid w:val="00AB791A"/>
    <w:rsid w:val="00AC5B0F"/>
    <w:rsid w:val="00AD1615"/>
    <w:rsid w:val="00AD75FE"/>
    <w:rsid w:val="00AD7D55"/>
    <w:rsid w:val="00AE1891"/>
    <w:rsid w:val="00AE3E98"/>
    <w:rsid w:val="00AF4363"/>
    <w:rsid w:val="00AF48A9"/>
    <w:rsid w:val="00AF7382"/>
    <w:rsid w:val="00B0152E"/>
    <w:rsid w:val="00B116A9"/>
    <w:rsid w:val="00B15B45"/>
    <w:rsid w:val="00B17EB4"/>
    <w:rsid w:val="00B2196C"/>
    <w:rsid w:val="00B3502C"/>
    <w:rsid w:val="00B40B24"/>
    <w:rsid w:val="00B45E23"/>
    <w:rsid w:val="00B64E0B"/>
    <w:rsid w:val="00B74468"/>
    <w:rsid w:val="00B907D4"/>
    <w:rsid w:val="00B97FE6"/>
    <w:rsid w:val="00BA7595"/>
    <w:rsid w:val="00BB631F"/>
    <w:rsid w:val="00BC0C5A"/>
    <w:rsid w:val="00BC156B"/>
    <w:rsid w:val="00BC278F"/>
    <w:rsid w:val="00BE0C55"/>
    <w:rsid w:val="00BE3659"/>
    <w:rsid w:val="00C02DFA"/>
    <w:rsid w:val="00C102FF"/>
    <w:rsid w:val="00C13653"/>
    <w:rsid w:val="00C35B93"/>
    <w:rsid w:val="00C42C86"/>
    <w:rsid w:val="00C444F7"/>
    <w:rsid w:val="00C53CF4"/>
    <w:rsid w:val="00C62816"/>
    <w:rsid w:val="00C71B25"/>
    <w:rsid w:val="00C72E01"/>
    <w:rsid w:val="00C752FC"/>
    <w:rsid w:val="00C800ED"/>
    <w:rsid w:val="00C90646"/>
    <w:rsid w:val="00C95C03"/>
    <w:rsid w:val="00CA110D"/>
    <w:rsid w:val="00CA515F"/>
    <w:rsid w:val="00CB5B39"/>
    <w:rsid w:val="00CE37A2"/>
    <w:rsid w:val="00CF4900"/>
    <w:rsid w:val="00CF60AA"/>
    <w:rsid w:val="00D1045D"/>
    <w:rsid w:val="00D140FE"/>
    <w:rsid w:val="00D2038B"/>
    <w:rsid w:val="00D22E1D"/>
    <w:rsid w:val="00D2493D"/>
    <w:rsid w:val="00D30F00"/>
    <w:rsid w:val="00D560D4"/>
    <w:rsid w:val="00D64876"/>
    <w:rsid w:val="00D64D66"/>
    <w:rsid w:val="00D75C8A"/>
    <w:rsid w:val="00D814B6"/>
    <w:rsid w:val="00D81941"/>
    <w:rsid w:val="00D83432"/>
    <w:rsid w:val="00D942DF"/>
    <w:rsid w:val="00DA15B4"/>
    <w:rsid w:val="00DB0D02"/>
    <w:rsid w:val="00DB58C2"/>
    <w:rsid w:val="00DB61A5"/>
    <w:rsid w:val="00DB6ED0"/>
    <w:rsid w:val="00DE1367"/>
    <w:rsid w:val="00DF3571"/>
    <w:rsid w:val="00E03A62"/>
    <w:rsid w:val="00E03EFC"/>
    <w:rsid w:val="00E12FF3"/>
    <w:rsid w:val="00E16AAA"/>
    <w:rsid w:val="00E24574"/>
    <w:rsid w:val="00E41B70"/>
    <w:rsid w:val="00E542AE"/>
    <w:rsid w:val="00E60F0B"/>
    <w:rsid w:val="00E8204F"/>
    <w:rsid w:val="00E83AFA"/>
    <w:rsid w:val="00EA464E"/>
    <w:rsid w:val="00EA6A03"/>
    <w:rsid w:val="00EC0EA4"/>
    <w:rsid w:val="00EC1DF8"/>
    <w:rsid w:val="00ED4E9F"/>
    <w:rsid w:val="00ED5539"/>
    <w:rsid w:val="00ED6F20"/>
    <w:rsid w:val="00EE060E"/>
    <w:rsid w:val="00EE107D"/>
    <w:rsid w:val="00EE27D6"/>
    <w:rsid w:val="00EE33C2"/>
    <w:rsid w:val="00EE4D12"/>
    <w:rsid w:val="00EE4EF7"/>
    <w:rsid w:val="00EF3DA5"/>
    <w:rsid w:val="00EF7D4C"/>
    <w:rsid w:val="00F05172"/>
    <w:rsid w:val="00F1488D"/>
    <w:rsid w:val="00F16508"/>
    <w:rsid w:val="00F222C4"/>
    <w:rsid w:val="00F23D1B"/>
    <w:rsid w:val="00F2416D"/>
    <w:rsid w:val="00F257A5"/>
    <w:rsid w:val="00F31D81"/>
    <w:rsid w:val="00F34F74"/>
    <w:rsid w:val="00F53E39"/>
    <w:rsid w:val="00F55F33"/>
    <w:rsid w:val="00F564F9"/>
    <w:rsid w:val="00F614C8"/>
    <w:rsid w:val="00F64403"/>
    <w:rsid w:val="00F727D5"/>
    <w:rsid w:val="00F85328"/>
    <w:rsid w:val="00FB102B"/>
    <w:rsid w:val="00FB6D5F"/>
    <w:rsid w:val="00FB7CDB"/>
    <w:rsid w:val="00FC164E"/>
    <w:rsid w:val="00FE3785"/>
    <w:rsid w:val="00FE5247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CE6303"/>
  <w15:docId w15:val="{803A2412-F16F-4BD2-B5E8-DF39BDA5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paragraph" w:customStyle="1" w:styleId="Default">
    <w:name w:val="Default"/>
    <w:rsid w:val="003C6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50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05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46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54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61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51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Report%20-%20Admin%20Assessment%20-%20Ap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0FC893D-70EE-4616-9B5A-E3BE0741E4B0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7EBFAAA5-526A-4134-B914-406E0E2B1EAF}"/>
</file>

<file path=customXml/itemProps5.xml><?xml version="1.0" encoding="utf-8"?>
<ds:datastoreItem xmlns:ds="http://schemas.openxmlformats.org/officeDocument/2006/customXml" ds:itemID="{9FD55265-07C8-45ED-86CD-D51D1E704C5E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 2019</Template>
  <TotalTime>0</TotalTime>
  <Pages>3</Pages>
  <Words>475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3379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khansh</dc:creator>
  <cp:keywords/>
  <cp:lastModifiedBy>Julia Madigan</cp:lastModifiedBy>
  <cp:revision>2</cp:revision>
  <cp:lastPrinted>2021-07-05T04:31:00Z</cp:lastPrinted>
  <dcterms:created xsi:type="dcterms:W3CDTF">2022-05-09T03:09:00Z</dcterms:created>
  <dcterms:modified xsi:type="dcterms:W3CDTF">2022-05-09T03:09:00Z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0x010100FB86A4CA77FAD24FB4C8632D8CBF0C4A</vt:lpwstr>
  </property>
  <property fmtid="{D5CDD505-2E9C-101B-9397-08002B2CF9AE}" pid="8" name="_dlc_DocIdItemGuid">
    <vt:lpwstr>d351d61f-8e3c-455c-aa6c-660ddf1a180b</vt:lpwstr>
  </property>
  <property fmtid="{D5CDD505-2E9C-101B-9397-08002B2CF9AE}" pid="9" name="DisposalClass">
    <vt:lpwstr/>
  </property>
  <property fmtid="{D5CDD505-2E9C-101B-9397-08002B2CF9AE}" pid="10" name="BCS_">
    <vt:lpwstr>35;#Evaluation|43bd8487-b9f6-4055-946c-a118d364275d</vt:lpwstr>
  </property>
</Properties>
</file>